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b w:val="0"/>
          <w:sz w:val="24"/>
        </w:rPr>
      </w:pPr>
      <w:r>
        <w:rPr>
          <w:sz w:val="24"/>
        </w:rPr>
        <w:t>WAMS/SCADA Data Fusion Method Study Based on Time-Series Data Correlation Mining</w:t>
      </w:r>
    </w:p>
    <w:p>
      <w:pPr>
        <w:pStyle w:val="16"/>
      </w:pPr>
      <w:r>
        <w:rPr>
          <w:rFonts w:hint="eastAsia"/>
          <w:bCs/>
        </w:rPr>
        <w:t>LiJin Zhao</w:t>
      </w:r>
      <w:r>
        <w:rPr>
          <w:bCs/>
          <w:vertAlign w:val="superscript"/>
        </w:rPr>
        <w:t>1</w:t>
      </w:r>
      <w:r>
        <w:rPr>
          <w:rFonts w:hint="eastAsia"/>
          <w:bCs/>
        </w:rPr>
        <w:t>, Liang Huang</w:t>
      </w:r>
      <w:r>
        <w:rPr>
          <w:bCs/>
          <w:vertAlign w:val="superscript"/>
        </w:rPr>
        <w:t>1</w:t>
      </w:r>
      <w:r>
        <w:rPr>
          <w:rFonts w:hint="eastAsia"/>
          <w:bCs/>
        </w:rPr>
        <w:t>, Qiansu Lv</w:t>
      </w:r>
      <w:r>
        <w:rPr>
          <w:bCs/>
          <w:vertAlign w:val="superscript"/>
        </w:rPr>
        <w:t>1</w:t>
      </w:r>
      <w:r>
        <w:rPr>
          <w:rFonts w:hint="eastAsia"/>
          <w:bCs/>
        </w:rPr>
        <w:t>, Tao Yang</w:t>
      </w:r>
      <w:r>
        <w:rPr>
          <w:bCs/>
          <w:vertAlign w:val="superscript"/>
        </w:rPr>
        <w:t>1</w:t>
      </w:r>
      <w:r>
        <w:t>,Daqian Wei</w:t>
      </w:r>
      <w:r>
        <w:rPr>
          <w:vertAlign w:val="superscript"/>
        </w:rPr>
        <w:t>2</w:t>
      </w:r>
    </w:p>
    <w:p>
      <w:pPr>
        <w:pStyle w:val="17"/>
        <w:numPr>
          <w:ilvl w:val="0"/>
          <w:numId w:val="1"/>
        </w:numPr>
        <w:rPr>
          <w:bCs/>
        </w:rPr>
      </w:pPr>
      <w:r>
        <w:rPr>
          <w:bCs/>
        </w:rPr>
        <w:t>Electric Power Research Institute of Guizhou Power Grid Co., Ltd,GuiZhou 550000,China</w:t>
      </w:r>
    </w:p>
    <w:p>
      <w:pPr>
        <w:pStyle w:val="17"/>
        <w:numPr>
          <w:ilvl w:val="0"/>
          <w:numId w:val="1"/>
        </w:numPr>
        <w:rPr>
          <w:bCs/>
        </w:rPr>
      </w:pPr>
      <w:r>
        <w:rPr>
          <w:rFonts w:hint="eastAsia" w:eastAsia="宋体"/>
          <w:bCs/>
          <w:lang w:val="en-US" w:eastAsia="zh-CN"/>
        </w:rPr>
        <w:t>School of Electrical Engineering, Wuhan University, Wuhan</w:t>
      </w:r>
      <w:r>
        <w:rPr>
          <w:bCs/>
        </w:rPr>
        <w:t xml:space="preserve"> </w:t>
      </w:r>
      <w:r>
        <w:rPr>
          <w:rFonts w:hint="eastAsia" w:eastAsia="宋体"/>
          <w:bCs/>
          <w:lang w:val="en-US" w:eastAsia="zh-CN"/>
        </w:rPr>
        <w:t>430072</w:t>
      </w:r>
      <w:r>
        <w:rPr>
          <w:bCs/>
        </w:rPr>
        <w:t>,China</w:t>
      </w:r>
      <w:bookmarkStart w:id="81" w:name="_GoBack"/>
      <w:bookmarkEnd w:id="81"/>
    </w:p>
    <w:p>
      <w:pPr>
        <w:pStyle w:val="18"/>
        <w:spacing w:after="0"/>
        <w:ind w:firstLine="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xml:space="preserve">, WAMS/SCADA correlation estimation is done with the derivation of Pearson correlation coefficient. </w:t>
      </w:r>
      <w:r>
        <w:rPr>
          <w:rFonts w:hint="eastAsia"/>
          <w:bCs/>
        </w:rPr>
        <w:t>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forming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pPr>
        <w:pStyle w:val="19"/>
        <w:rPr>
          <w:rFonts w:eastAsiaTheme="minorEastAsia"/>
          <w:lang w:eastAsia="zh-CN"/>
        </w:rPr>
      </w:pPr>
      <w:r>
        <w:rPr>
          <w:b/>
          <w:bCs/>
        </w:rPr>
        <w:t>Keywords</w:t>
      </w:r>
      <w:r>
        <w:rPr>
          <w:rFonts w:hint="eastAsia" w:eastAsiaTheme="minorEastAsia"/>
          <w:b/>
          <w:bCs/>
          <w:lang w:eastAsia="zh-CN"/>
        </w:rPr>
        <w:t xml:space="preserve">: </w:t>
      </w:r>
      <w:r>
        <w:rPr>
          <w:rFonts w:hint="eastAsia" w:eastAsiaTheme="minorEastAsia"/>
          <w:bCs/>
          <w:lang w:eastAsia="zh-CN"/>
        </w:rPr>
        <w:t>T</w:t>
      </w:r>
      <w:r>
        <w:rPr>
          <w:bCs/>
        </w:rPr>
        <w:t>ime-series data</w:t>
      </w:r>
      <w:r>
        <w:rPr>
          <w:rFonts w:hint="eastAsia"/>
          <w:bCs/>
        </w:rPr>
        <w:t xml:space="preserve">; </w:t>
      </w:r>
      <w:r>
        <w:rPr>
          <w:bCs/>
        </w:rPr>
        <w:t>correlation mining; WAMS/SCADA data fusion</w:t>
      </w:r>
      <w:r>
        <w:rPr>
          <w:rFonts w:hint="eastAsia" w:eastAsiaTheme="minorEastAsia"/>
          <w:bCs/>
          <w:lang w:eastAsia="zh-CN"/>
        </w:rPr>
        <w:t>.</w:t>
      </w:r>
    </w:p>
    <w:p>
      <w:pPr>
        <w:pStyle w:val="20"/>
        <w:numPr>
          <w:ilvl w:val="0"/>
          <w:numId w:val="2"/>
        </w:numPr>
        <w:ind w:left="504" w:hanging="504" w:hangingChars="270"/>
      </w:pPr>
      <w:r>
        <w:t>Instruction</w:t>
      </w:r>
    </w:p>
    <w:p>
      <w:pPr>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pPr>
        <w:spacing w:line="240" w:lineRule="atLeast"/>
        <w:ind w:firstLine="227"/>
        <w:rPr>
          <w:sz w:val="20"/>
          <w:szCs w:val="20"/>
        </w:rPr>
      </w:pPr>
      <w:r>
        <w:rPr>
          <w:sz w:val="20"/>
          <w:szCs w:val="20"/>
        </w:rPr>
        <w:t>Because of the differences between WAMS and SCADA’s technology platform, they 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 This method faces trade-offs with measurement data to reduce differences and enhance precision, which ignores the integrity of data largely and can make good use of the WAMS/SCADA data.</w:t>
      </w:r>
    </w:p>
    <w:p>
      <w:pPr>
        <w:spacing w:line="240" w:lineRule="atLeast"/>
        <w:ind w:firstLine="227"/>
        <w:rPr>
          <w:sz w:val="20"/>
          <w:szCs w:val="20"/>
        </w:rPr>
      </w:pPr>
      <w:r>
        <w:rPr>
          <w:sz w:val="20"/>
          <w:szCs w:val="20"/>
        </w:rPr>
        <w:t xml:space="preserve">Therefore, by the method based on time-series data correlation mining to evaluate correlation of data, the WAMS/SCADA data fuses according to its correlation to make the best use of data after curve registration or curve alignment. The method based on time-series data correlation mining has been applied in many research field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p>
    <w:p>
      <w:pPr>
        <w:spacing w:after="240" w:line="240" w:lineRule="atLeast"/>
        <w:ind w:firstLine="227"/>
        <w:rPr>
          <w:sz w:val="20"/>
          <w:szCs w:val="20"/>
        </w:rPr>
      </w:pPr>
      <w:r>
        <w:rPr>
          <w:sz w:val="20"/>
          <w:szCs w:val="20"/>
        </w:rPr>
        <w:t>WAMS/SCADA data fusion method based on time-series data correlation mining is proposed in this paper. The method firstly determines the correlation coefficient and evaluates its own correlation. Then solving the function model by time-series data curve alignment. Finally completing blended data fusion.</w:t>
      </w:r>
    </w:p>
    <w:p>
      <w:pPr>
        <w:pStyle w:val="21"/>
        <w:numPr>
          <w:ilvl w:val="0"/>
          <w:numId w:val="3"/>
        </w:numPr>
        <w:tabs>
          <w:tab w:val="left" w:pos="567"/>
        </w:tabs>
        <w:spacing w:before="0"/>
        <w:ind w:left="567" w:hanging="567"/>
      </w:pPr>
      <w:r>
        <w:t>WAMS/SCADA Correlation Evaluation</w:t>
      </w:r>
    </w:p>
    <w:p>
      <w:pPr>
        <w:pStyle w:val="21"/>
        <w:numPr>
          <w:ilvl w:val="0"/>
          <w:numId w:val="4"/>
        </w:numPr>
        <w:spacing w:before="0"/>
      </w:pPr>
      <w:r>
        <w:t>Correlation Coefficient Derivation</w:t>
      </w:r>
    </w:p>
    <w:p>
      <w:pPr>
        <w:pStyle w:val="21"/>
        <w:numPr>
          <w:ilvl w:val="0"/>
          <w:numId w:val="5"/>
        </w:numPr>
        <w:spacing w:before="0"/>
      </w:pPr>
      <w:r>
        <w:t>Upper and Lower Limit of Correlation Coefficient</w:t>
      </w:r>
    </w:p>
    <w:p>
      <w:pPr>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pPr>
        <w:spacing w:line="240" w:lineRule="atLeast"/>
        <w:ind w:firstLine="227"/>
        <w:rPr>
          <w:sz w:val="20"/>
          <w:szCs w:val="20"/>
        </w:rPr>
      </w:pPr>
      <w:r>
        <w:rPr>
          <w:sz w:val="20"/>
          <w:szCs w:val="20"/>
        </w:rPr>
        <w:t>Assume that there are two correspondent groups of heterogeneous data:</w:t>
      </w:r>
    </w:p>
    <w:p>
      <w:pPr>
        <w:spacing w:before="160" w:after="160" w:line="240" w:lineRule="atLeast"/>
        <w:jc w:val="right"/>
        <w:rPr>
          <w:sz w:val="20"/>
          <w:szCs w:val="20"/>
        </w:rPr>
      </w:pPr>
      <w:r>
        <w:rPr>
          <w:position w:val="-12"/>
          <w:sz w:val="20"/>
          <w:szCs w:val="20"/>
        </w:rPr>
        <w:object>
          <v:shape id="_x0000_i1025" o:spt="75" type="#_x0000_t75" style="height:17.3pt;width:86.6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sz w:val="20"/>
          <w:szCs w:val="20"/>
        </w:rPr>
        <w:t xml:space="preserve">                      (1)</w:t>
      </w:r>
    </w:p>
    <w:p>
      <w:pPr>
        <w:spacing w:line="240" w:lineRule="atLeast"/>
        <w:rPr>
          <w:sz w:val="20"/>
          <w:szCs w:val="20"/>
        </w:rPr>
      </w:pPr>
      <w:r>
        <w:rPr>
          <w:sz w:val="20"/>
          <w:szCs w:val="20"/>
        </w:rPr>
        <w:t xml:space="preserve">Accord with: </w:t>
      </w:r>
      <w:r>
        <w:rPr>
          <w:position w:val="-14"/>
          <w:sz w:val="20"/>
          <w:szCs w:val="20"/>
        </w:rPr>
        <w:object>
          <v:shape id="_x0000_i1026" o:spt="75" type="#_x0000_t75" style="height:19.15pt;width:121.2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spacing w:line="240" w:lineRule="atLeast"/>
        <w:rPr>
          <w:sz w:val="20"/>
          <w:szCs w:val="20"/>
        </w:rPr>
      </w:pPr>
      <w:r>
        <w:rPr>
          <w:sz w:val="20"/>
          <w:szCs w:val="20"/>
        </w:rPr>
        <w:t>Then correlation coefficient of sample is:</w:t>
      </w:r>
    </w:p>
    <w:p>
      <w:pPr>
        <w:spacing w:before="160" w:after="160" w:line="240" w:lineRule="atLeast"/>
        <w:jc w:val="right"/>
        <w:rPr>
          <w:sz w:val="20"/>
          <w:szCs w:val="20"/>
        </w:rPr>
      </w:pPr>
      <w:r>
        <w:rPr>
          <w:position w:val="-60"/>
          <w:sz w:val="20"/>
          <w:szCs w:val="20"/>
        </w:rPr>
        <w:object>
          <v:shape id="_x0000_i1027" o:spt="75" type="#_x0000_t75" style="height:62.9pt;width:156.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sz w:val="20"/>
          <w:szCs w:val="20"/>
        </w:rPr>
        <w:t xml:space="preserve">                 (2)</w:t>
      </w:r>
    </w:p>
    <w:p>
      <w:pPr>
        <w:spacing w:line="240" w:lineRule="atLeast"/>
        <w:rPr>
          <w:sz w:val="20"/>
          <w:szCs w:val="20"/>
        </w:rPr>
      </w:pPr>
      <w:r>
        <w:rPr>
          <w:position w:val="-6"/>
          <w:sz w:val="20"/>
          <w:szCs w:val="20"/>
        </w:rPr>
        <w:object>
          <v:shape id="_x0000_i1028" o:spt="75" type="#_x0000_t75" style="height:17.3pt;width:9.1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sz w:val="20"/>
          <w:szCs w:val="20"/>
        </w:rPr>
        <w:t xml:space="preserve"> is the average of sample </w:t>
      </w:r>
      <w:r>
        <w:rPr>
          <w:position w:val="-4"/>
          <w:sz w:val="20"/>
          <w:szCs w:val="20"/>
        </w:rPr>
        <w:object>
          <v:shape id="_x0000_i1029" o:spt="75" type="#_x0000_t75" style="height:12.75pt;width:14.6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sz w:val="20"/>
          <w:szCs w:val="20"/>
        </w:rPr>
        <w:t>,</w:t>
      </w:r>
      <w:r>
        <w:rPr>
          <w:position w:val="-10"/>
          <w:sz w:val="20"/>
          <w:szCs w:val="20"/>
        </w:rPr>
        <w:object>
          <v:shape id="_x0000_i1030" o:spt="75" type="#_x0000_t75" style="height:19.15pt;width:11.8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sz w:val="20"/>
          <w:szCs w:val="20"/>
        </w:rPr>
        <w:t xml:space="preserve">is the average of sample </w:t>
      </w:r>
      <w:r>
        <w:rPr>
          <w:position w:val="-4"/>
          <w:sz w:val="20"/>
          <w:szCs w:val="20"/>
        </w:rPr>
        <w:object>
          <v:shape id="_x0000_i1031" o:spt="75" type="#_x0000_t75" style="height:12.75pt;width:11.8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spacing w:line="240" w:lineRule="atLeast"/>
        <w:rPr>
          <w:sz w:val="20"/>
          <w:szCs w:val="20"/>
        </w:rPr>
      </w:pPr>
      <w:r>
        <w:rPr>
          <w:sz w:val="20"/>
          <w:szCs w:val="20"/>
        </w:rPr>
        <w:t xml:space="preserve">When </w:t>
      </w:r>
      <w:r>
        <w:rPr>
          <w:position w:val="-10"/>
          <w:sz w:val="20"/>
          <w:szCs w:val="20"/>
        </w:rPr>
        <w:object>
          <v:shape id="_x0000_i1032" o:spt="75" type="#_x0000_t75" style="height:15.5pt;width:31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sz w:val="20"/>
          <w:szCs w:val="20"/>
        </w:rPr>
        <w:t xml:space="preserve">, simply getting the probability density function of </w:t>
      </w:r>
      <w:r>
        <w:rPr>
          <w:position w:val="-10"/>
          <w:sz w:val="20"/>
          <w:szCs w:val="20"/>
        </w:rPr>
        <w:object>
          <v:shape id="_x0000_i1033" o:spt="75" type="#_x0000_t75" style="height:22.8pt;width:11.8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sz w:val="20"/>
          <w:szCs w:val="20"/>
        </w:rPr>
        <w:t>. After transferring, getting asymptotic distribution:</w:t>
      </w:r>
    </w:p>
    <w:p>
      <w:pPr>
        <w:spacing w:before="160" w:after="160" w:line="240" w:lineRule="atLeast"/>
        <w:jc w:val="right"/>
        <w:rPr>
          <w:sz w:val="20"/>
          <w:szCs w:val="20"/>
        </w:rPr>
      </w:pPr>
      <w:r>
        <w:rPr>
          <w:position w:val="-26"/>
          <w:sz w:val="20"/>
          <w:szCs w:val="20"/>
        </w:rPr>
        <w:object>
          <v:shape id="_x0000_i1034" o:spt="75" type="#_x0000_t75" style="height:33.7pt;width:126.7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sz w:val="20"/>
          <w:szCs w:val="20"/>
        </w:rPr>
        <w:t xml:space="preserve">                  (3)</w:t>
      </w:r>
    </w:p>
    <w:p>
      <w:pPr>
        <w:spacing w:line="240" w:lineRule="atLeast"/>
        <w:rPr>
          <w:sz w:val="20"/>
          <w:szCs w:val="20"/>
        </w:rPr>
      </w:pPr>
      <w:r>
        <w:rPr>
          <w:sz w:val="20"/>
          <w:szCs w:val="20"/>
        </w:rPr>
        <w:t xml:space="preserve">From formula (4), </w:t>
      </w:r>
      <w:r>
        <w:rPr>
          <w:position w:val="-10"/>
          <w:sz w:val="20"/>
          <w:szCs w:val="20"/>
        </w:rPr>
        <w:object>
          <v:shape id="_x0000_i1035" o:spt="75" type="#_x0000_t75" style="height:14.6pt;width:21.8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sz w:val="20"/>
          <w:szCs w:val="20"/>
        </w:rPr>
        <w:t xml:space="preserve"> is monotonic increasing function, its upper and lower limit of correlation coefficient is:</w:t>
      </w:r>
    </w:p>
    <w:p>
      <w:pPr>
        <w:spacing w:line="240" w:lineRule="atLeast"/>
        <w:rPr>
          <w:sz w:val="20"/>
          <w:szCs w:val="20"/>
        </w:rPr>
      </w:pPr>
      <w:r>
        <w:rPr>
          <w:sz w:val="20"/>
          <w:szCs w:val="20"/>
        </w:rPr>
        <w:t xml:space="preserve">When </w:t>
      </w:r>
      <w:r>
        <w:rPr>
          <w:position w:val="-10"/>
          <w:sz w:val="20"/>
          <w:szCs w:val="20"/>
        </w:rPr>
        <w:object>
          <v:shape id="_x0000_i1036" o:spt="75" type="#_x0000_t75" style="height:18.25pt;width:28.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sz w:val="20"/>
          <w:szCs w:val="20"/>
        </w:rPr>
        <w:t>:</w:t>
      </w:r>
    </w:p>
    <w:p>
      <w:pPr>
        <w:spacing w:before="160" w:after="160" w:line="240" w:lineRule="atLeast"/>
        <w:jc w:val="right"/>
        <w:rPr>
          <w:sz w:val="20"/>
          <w:szCs w:val="20"/>
        </w:rPr>
      </w:pPr>
      <w:r>
        <w:rPr>
          <w:position w:val="-32"/>
          <w:sz w:val="20"/>
          <w:szCs w:val="20"/>
        </w:rPr>
        <w:object>
          <v:shape id="_x0000_i1037" o:spt="75" type="#_x0000_t75" style="height:36.45pt;width:182.3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sz w:val="20"/>
          <w:szCs w:val="20"/>
        </w:rPr>
        <w:t xml:space="preserve">           (4)</w:t>
      </w:r>
    </w:p>
    <w:p>
      <w:pPr>
        <w:spacing w:line="240" w:lineRule="atLeast"/>
        <w:rPr>
          <w:sz w:val="20"/>
          <w:szCs w:val="20"/>
        </w:rPr>
      </w:pPr>
      <w:r>
        <w:rPr>
          <w:sz w:val="20"/>
          <w:szCs w:val="20"/>
        </w:rPr>
        <w:t xml:space="preserve">When </w:t>
      </w:r>
      <w:r>
        <w:rPr>
          <w:position w:val="-10"/>
          <w:sz w:val="20"/>
          <w:szCs w:val="20"/>
        </w:rPr>
        <w:object>
          <v:shape id="_x0000_i1038" o:spt="75" type="#_x0000_t75" style="height:20.05pt;width:31.9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sz w:val="20"/>
          <w:szCs w:val="20"/>
        </w:rPr>
        <w:t>:</w:t>
      </w:r>
    </w:p>
    <w:p>
      <w:pPr>
        <w:spacing w:before="160" w:after="160" w:line="240" w:lineRule="atLeast"/>
        <w:jc w:val="right"/>
        <w:rPr>
          <w:sz w:val="20"/>
          <w:szCs w:val="20"/>
        </w:rPr>
      </w:pPr>
      <w:r>
        <w:rPr>
          <w:position w:val="-32"/>
          <w:sz w:val="20"/>
          <w:szCs w:val="20"/>
        </w:rPr>
        <w:object>
          <v:shape id="_x0000_i1039" o:spt="75" type="#_x0000_t75" style="height:36.45pt;width:182.3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sz w:val="20"/>
          <w:szCs w:val="20"/>
        </w:rPr>
        <w:t xml:space="preserve">           (5)</w:t>
      </w:r>
    </w:p>
    <w:p>
      <w:pPr>
        <w:pStyle w:val="21"/>
        <w:numPr>
          <w:ilvl w:val="0"/>
          <w:numId w:val="5"/>
        </w:numPr>
        <w:spacing w:before="0"/>
      </w:pPr>
      <w:r>
        <w:t>Determination of WAMS/SCADA Correlation Coefficient</w:t>
      </w:r>
    </w:p>
    <w:p>
      <w:pPr>
        <w:spacing w:line="240" w:lineRule="atLeast"/>
        <w:rPr>
          <w:sz w:val="20"/>
          <w:szCs w:val="20"/>
        </w:rPr>
      </w:pPr>
      <w:r>
        <w:rPr>
          <w:sz w:val="20"/>
          <w:szCs w:val="20"/>
        </w:rPr>
        <w:t>According to the derivation of upper and lower limit of correlation coefficient, WAMS/SCADA correlation coefficient can be showed with:</w:t>
      </w:r>
    </w:p>
    <w:p>
      <w:pPr>
        <w:spacing w:before="160" w:after="160" w:line="240" w:lineRule="atLeast"/>
        <w:jc w:val="right"/>
        <w:rPr>
          <w:sz w:val="20"/>
          <w:szCs w:val="20"/>
        </w:rPr>
      </w:pPr>
      <w:r>
        <w:rPr>
          <w:position w:val="-70"/>
          <w:sz w:val="20"/>
          <w:szCs w:val="20"/>
        </w:rPr>
        <w:object>
          <v:shape id="_x0000_i1040" o:spt="75" type="#_x0000_t75" style="height:74.75pt;width:167.7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sz w:val="20"/>
          <w:szCs w:val="20"/>
        </w:rPr>
        <w:t xml:space="preserve">                (6)</w:t>
      </w:r>
    </w:p>
    <w:p>
      <w:pPr>
        <w:spacing w:line="240" w:lineRule="atLeast"/>
        <w:rPr>
          <w:sz w:val="20"/>
          <w:szCs w:val="20"/>
        </w:rPr>
      </w:pPr>
      <w:r>
        <w:rPr>
          <w:sz w:val="20"/>
          <w:szCs w:val="20"/>
        </w:rPr>
        <w:t xml:space="preserve">In last formula, </w:t>
      </w:r>
      <w:r>
        <w:rPr>
          <w:position w:val="-10"/>
          <w:sz w:val="20"/>
          <w:szCs w:val="20"/>
        </w:rPr>
        <w:object>
          <v:shape id="_x0000_i1041" o:spt="75" type="#_x0000_t75" style="height:14.6pt;width:38.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sz w:val="20"/>
          <w:szCs w:val="20"/>
        </w:rPr>
        <w:t xml:space="preserve"> is the correlation coefficient of WAMS measurement data </w:t>
      </w:r>
      <w:r>
        <w:rPr>
          <w:position w:val="-10"/>
          <w:sz w:val="20"/>
          <w:szCs w:val="20"/>
        </w:rPr>
        <w:object>
          <v:shape id="_x0000_i1042" o:spt="75" type="#_x0000_t75" style="height:15.5pt;width:12.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sz w:val="20"/>
          <w:szCs w:val="20"/>
        </w:rPr>
        <w:t xml:space="preserve"> and SCADA measurement data </w:t>
      </w:r>
      <w:r>
        <w:rPr>
          <w:position w:val="-10"/>
          <w:sz w:val="20"/>
          <w:szCs w:val="20"/>
        </w:rPr>
        <w:object>
          <v:shape id="_x0000_i1043" o:spt="75" type="#_x0000_t75" style="height:15.5pt;width:11.8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sz w:val="20"/>
          <w:szCs w:val="20"/>
        </w:rPr>
        <w:t xml:space="preserve">. </w:t>
      </w:r>
      <w:r>
        <w:rPr>
          <w:position w:val="-6"/>
          <w:sz w:val="20"/>
          <w:szCs w:val="20"/>
        </w:rPr>
        <w:object>
          <v:shape id="_x0000_i1044" o:spt="75" type="#_x0000_t75" style="height:11.85pt;width:6.4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sz w:val="20"/>
          <w:szCs w:val="20"/>
        </w:rPr>
        <w:t xml:space="preserve"> is the initial moment of measurement data in some period. </w:t>
      </w:r>
      <w:r>
        <w:rPr>
          <w:position w:val="-6"/>
          <w:sz w:val="20"/>
          <w:szCs w:val="20"/>
        </w:rPr>
        <w:object>
          <v:shape id="_x0000_i1045" o:spt="75" type="#_x0000_t75" style="height:11.85pt;width:9.1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sz w:val="20"/>
          <w:szCs w:val="20"/>
        </w:rPr>
        <w:t xml:space="preserve"> is the cut-off moment of measurement data in some period. </w:t>
      </w:r>
      <w:r>
        <w:rPr>
          <w:position w:val="-10"/>
          <w:sz w:val="20"/>
          <w:szCs w:val="20"/>
        </w:rPr>
        <w:object>
          <v:shape id="_x0000_i1046" o:spt="75" type="#_x0000_t75" style="height:15.5pt;width:11.8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sz w:val="20"/>
          <w:szCs w:val="20"/>
        </w:rPr>
        <w:t xml:space="preserve"> is average of SCADA measurement sample. </w:t>
      </w:r>
      <w:r>
        <w:rPr>
          <w:position w:val="-10"/>
          <w:sz w:val="20"/>
          <w:szCs w:val="20"/>
        </w:rPr>
        <w:object>
          <v:shape id="_x0000_i1047" o:spt="75" type="#_x0000_t75" style="height:15.5pt;width:12.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sz w:val="20"/>
          <w:szCs w:val="20"/>
        </w:rPr>
        <w:t xml:space="preserve"> is average of WAMS measurement sample.</w:t>
      </w:r>
    </w:p>
    <w:p>
      <w:pPr>
        <w:spacing w:line="240" w:lineRule="atLeast"/>
        <w:ind w:firstLine="200" w:firstLineChars="100"/>
        <w:rPr>
          <w:sz w:val="20"/>
          <w:szCs w:val="20"/>
        </w:rPr>
      </w:pPr>
      <w:r>
        <w:rPr>
          <w:sz w:val="20"/>
          <w:szCs w:val="20"/>
        </w:rPr>
        <w:t>Then getting the cross covariance function of WAAMS/SCADA measurement data:</w:t>
      </w:r>
    </w:p>
    <w:p>
      <w:pPr>
        <w:spacing w:before="160" w:after="160" w:line="240" w:lineRule="atLeast"/>
        <w:jc w:val="right"/>
        <w:rPr>
          <w:sz w:val="20"/>
          <w:szCs w:val="20"/>
        </w:rPr>
      </w:pPr>
      <w:r>
        <w:rPr>
          <w:position w:val="-14"/>
          <w:sz w:val="20"/>
          <w:szCs w:val="20"/>
        </w:rPr>
        <w:object>
          <v:shape id="_x0000_i1048" o:spt="75" type="#_x0000_t75" style="height:19.15pt;width:145.8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sz w:val="20"/>
          <w:szCs w:val="20"/>
        </w:rPr>
        <w:t xml:space="preserve">                (7)</w:t>
      </w:r>
    </w:p>
    <w:p>
      <w:pPr>
        <w:pStyle w:val="21"/>
        <w:numPr>
          <w:ilvl w:val="0"/>
          <w:numId w:val="3"/>
        </w:numPr>
        <w:tabs>
          <w:tab w:val="left" w:pos="567"/>
        </w:tabs>
        <w:spacing w:before="0"/>
        <w:ind w:left="567" w:hanging="567"/>
      </w:pPr>
      <w:r>
        <w:t>Method of Correlation Determination</w:t>
      </w:r>
    </w:p>
    <w:p>
      <w:pPr>
        <w:spacing w:line="240" w:lineRule="atLeast"/>
        <w:rPr>
          <w:sz w:val="20"/>
          <w:szCs w:val="20"/>
        </w:rPr>
      </w:pPr>
      <w:r>
        <w:rPr>
          <w:sz w:val="20"/>
          <w:szCs w:val="20"/>
        </w:rPr>
        <w:t>To describe the correlation characteristic of sequence, firstly giving the definition of time-lag series. Assume that there are two groups of time-series data:</w:t>
      </w:r>
    </w:p>
    <w:p>
      <w:pPr>
        <w:spacing w:before="160" w:after="160" w:line="240" w:lineRule="atLeast"/>
        <w:jc w:val="right"/>
        <w:rPr>
          <w:sz w:val="20"/>
          <w:szCs w:val="20"/>
        </w:rPr>
      </w:pPr>
      <w:r>
        <w:rPr>
          <w:position w:val="-12"/>
          <w:sz w:val="20"/>
          <w:szCs w:val="20"/>
        </w:rPr>
        <w:object>
          <v:shape id="_x0000_i1049" o:spt="75" type="#_x0000_t75" style="height:17.3pt;width:119.4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sz w:val="20"/>
          <w:szCs w:val="20"/>
        </w:rPr>
        <w:t xml:space="preserve">                   (8)</w:t>
      </w:r>
    </w:p>
    <w:p>
      <w:pPr>
        <w:spacing w:line="240" w:lineRule="atLeast"/>
        <w:rPr>
          <w:sz w:val="20"/>
          <w:szCs w:val="20"/>
        </w:rPr>
      </w:pPr>
      <w:r>
        <w:rPr>
          <w:sz w:val="20"/>
          <w:szCs w:val="20"/>
        </w:rPr>
        <w:t>Defining the following sequence is the time difference series:</w:t>
      </w:r>
    </w:p>
    <w:p>
      <w:pPr>
        <w:spacing w:before="160" w:after="160" w:line="240" w:lineRule="atLeast"/>
        <w:jc w:val="right"/>
        <w:rPr>
          <w:sz w:val="20"/>
          <w:szCs w:val="20"/>
        </w:rPr>
      </w:pPr>
      <w:r>
        <w:rPr>
          <w:position w:val="-12"/>
          <w:sz w:val="20"/>
          <w:szCs w:val="20"/>
        </w:rPr>
        <w:object>
          <v:shape id="_x0000_i1050" o:spt="75" type="#_x0000_t75" style="height:17.3pt;width:158.6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sz w:val="20"/>
          <w:szCs w:val="20"/>
        </w:rPr>
        <w:t xml:space="preserve">               (9)</w:t>
      </w:r>
    </w:p>
    <w:p>
      <w:pPr>
        <w:spacing w:before="160" w:after="160" w:line="240" w:lineRule="atLeast"/>
        <w:jc w:val="right"/>
        <w:rPr>
          <w:sz w:val="20"/>
          <w:szCs w:val="20"/>
        </w:rPr>
      </w:pPr>
      <w:r>
        <w:rPr>
          <w:position w:val="-12"/>
          <w:sz w:val="20"/>
          <w:szCs w:val="20"/>
        </w:rPr>
        <w:object>
          <v:shape id="_x0000_i1051" o:spt="75" type="#_x0000_t75" style="height:17.3pt;width:158.6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sz w:val="20"/>
          <w:szCs w:val="20"/>
        </w:rPr>
        <w:t xml:space="preserve">              (10)</w:t>
      </w:r>
    </w:p>
    <w:p>
      <w:pPr>
        <w:spacing w:before="160" w:after="160" w:line="240" w:lineRule="atLeast"/>
        <w:jc w:val="center"/>
        <w:rPr>
          <w:sz w:val="20"/>
          <w:szCs w:val="20"/>
        </w:rPr>
      </w:pPr>
      <w:r>
        <w:rPr>
          <w:position w:val="-8"/>
          <w:sz w:val="20"/>
          <w:szCs w:val="20"/>
        </w:rPr>
        <w:object>
          <v:shape id="_x0000_i1052" o:spt="75" type="#_x0000_t75" style="height:16.4pt;width:74.7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p>
    <w:p>
      <w:pPr>
        <w:spacing w:line="240" w:lineRule="atLeast"/>
        <w:rPr>
          <w:sz w:val="20"/>
          <w:szCs w:val="20"/>
        </w:rPr>
      </w:pPr>
      <w:r>
        <w:rPr>
          <w:sz w:val="20"/>
          <w:szCs w:val="20"/>
        </w:rPr>
        <w:t>Therefore, it is able to determine time-series data correlation of time difference sequence now.</w:t>
      </w:r>
    </w:p>
    <w:p>
      <w:pPr>
        <w:spacing w:line="240" w:lineRule="atLeast"/>
        <w:ind w:firstLine="227"/>
        <w:rPr>
          <w:sz w:val="20"/>
          <w:szCs w:val="20"/>
        </w:rPr>
      </w:pPr>
      <w:r>
        <w:rPr>
          <w:position w:val="-10"/>
          <w:sz w:val="20"/>
          <w:szCs w:val="20"/>
        </w:rPr>
        <w:object>
          <v:shape id="_x0000_i1053" o:spt="75" type="#_x0000_t75" style="height:14.6pt;width:38.3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sz w:val="20"/>
          <w:szCs w:val="20"/>
        </w:rPr>
        <w:t xml:space="preserve"> is a series of correlation coefficient vector, which is combined with the correlation coefficient of WAMS/SCADA measurement data according to sequential permutation. When WAMS/SCADA’s initial moments </w:t>
      </w:r>
      <w:r>
        <w:rPr>
          <w:position w:val="-6"/>
          <w:sz w:val="20"/>
          <w:szCs w:val="20"/>
        </w:rPr>
        <w:object>
          <v:shape id="_x0000_i1054" o:spt="75" type="#_x0000_t75" style="height:11.85pt;width:6.4pt;" o:ole="t" filled="f" o:preferrelative="t" stroked="f" coordsize="21600,21600">
            <v:path/>
            <v:fill on="f" focussize="0,0"/>
            <v:stroke on="f" joinstyle="miter"/>
            <v:imagedata r:id="rId43" o:title=""/>
            <o:lock v:ext="edit" aspectratio="t"/>
            <w10:wrap type="none"/>
            <w10:anchorlock/>
          </v:shape>
          <o:OLEObject Type="Embed" ProgID="Equation.DSMT4" ShapeID="_x0000_i1054" DrawAspect="Content" ObjectID="_1468075754" r:id="rId62">
            <o:LockedField>false</o:LockedField>
          </o:OLEObject>
        </w:object>
      </w:r>
      <w:r>
        <w:rPr>
          <w:sz w:val="20"/>
          <w:szCs w:val="20"/>
        </w:rPr>
        <w:t xml:space="preserve"> is synchronous, it is the most correlative moment.</w:t>
      </w:r>
    </w:p>
    <w:p>
      <w:pPr>
        <w:pStyle w:val="20"/>
        <w:numPr>
          <w:ilvl w:val="0"/>
          <w:numId w:val="2"/>
        </w:numPr>
        <w:ind w:left="504" w:hanging="504" w:hangingChars="270"/>
      </w:pPr>
      <w:r>
        <w:t>Method of Time-series Data Curve Alignment</w:t>
      </w:r>
    </w:p>
    <w:p>
      <w:pPr>
        <w:pStyle w:val="12"/>
        <w:numPr>
          <w:ilvl w:val="1"/>
          <w:numId w:val="5"/>
        </w:numPr>
        <w:spacing w:after="160" w:line="240" w:lineRule="atLeast"/>
        <w:ind w:left="584" w:hanging="584" w:hangingChars="270"/>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pPr>
        <w:spacing w:line="240" w:lineRule="atLeast"/>
        <w:rPr>
          <w:sz w:val="20"/>
          <w:szCs w:val="20"/>
        </w:rPr>
      </w:pPr>
      <w:r>
        <w:rPr>
          <w:sz w:val="20"/>
          <w:szCs w:val="20"/>
        </w:rPr>
        <w:t xml:space="preserve">Correlation coefficient of the WAMS/SCADA time-series data helps to evaluate itself correlation. If the series is correlative and exists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pPr>
        <w:spacing w:line="240" w:lineRule="atLeast"/>
        <w:ind w:firstLine="227"/>
        <w:rPr>
          <w:sz w:val="20"/>
          <w:szCs w:val="20"/>
        </w:rPr>
      </w:pPr>
      <w:r>
        <w:rPr>
          <w:sz w:val="20"/>
          <w:szCs w:val="20"/>
        </w:rPr>
        <w:t>Pearson correlation coefficient is a non-dimensional way to describe the correlation or similarity between series. However, continuity function need to be described by inner product. Completing curve alignment of heterogeneous data by building the following function:</w:t>
      </w:r>
    </w:p>
    <w:p>
      <w:pPr>
        <w:spacing w:before="160" w:after="160" w:line="240" w:lineRule="atLeast"/>
        <w:jc w:val="center"/>
        <w:rPr>
          <w:sz w:val="20"/>
          <w:szCs w:val="20"/>
        </w:rPr>
      </w:pPr>
      <w:r>
        <w:rPr>
          <w:position w:val="-20"/>
          <w:sz w:val="20"/>
          <w:szCs w:val="20"/>
        </w:rPr>
        <w:object>
          <v:shape id="_x0000_i1055" o:spt="75" type="#_x0000_t75" style="height:31pt;width:83.8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p>
    <w:p>
      <w:pPr>
        <w:wordWrap w:val="0"/>
        <w:spacing w:before="160" w:after="160" w:line="240" w:lineRule="atLeast"/>
        <w:jc w:val="right"/>
        <w:rPr>
          <w:sz w:val="20"/>
          <w:szCs w:val="20"/>
        </w:rPr>
      </w:pPr>
      <w:r>
        <w:rPr>
          <w:position w:val="-42"/>
          <w:sz w:val="20"/>
          <w:szCs w:val="20"/>
        </w:rPr>
        <w:object>
          <v:shape id="_x0000_i1056" o:spt="75" type="#_x0000_t75" style="height:58.35pt;width:166.8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sz w:val="20"/>
          <w:szCs w:val="20"/>
        </w:rPr>
        <w:t xml:space="preserve">   </w:t>
      </w:r>
      <w:r>
        <w:rPr>
          <w:rFonts w:hint="eastAsia"/>
          <w:sz w:val="20"/>
          <w:szCs w:val="20"/>
        </w:rPr>
        <w:t xml:space="preserve">  </w:t>
      </w:r>
      <w:r>
        <w:rPr>
          <w:sz w:val="20"/>
          <w:szCs w:val="20"/>
        </w:rPr>
        <w:t xml:space="preserve">          (11)</w:t>
      </w:r>
    </w:p>
    <w:p>
      <w:pPr>
        <w:spacing w:after="240" w:line="240" w:lineRule="atLeast"/>
        <w:rPr>
          <w:sz w:val="20"/>
          <w:szCs w:val="20"/>
        </w:rPr>
      </w:pPr>
      <w:r>
        <w:rPr>
          <w:position w:val="-12"/>
          <w:sz w:val="20"/>
          <w:szCs w:val="20"/>
        </w:rPr>
        <w:object>
          <v:shape id="_x0000_i1057" o:spt="75" type="#_x0000_t75" style="height:18.25pt;width:66.5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sz w:val="20"/>
          <w:szCs w:val="20"/>
        </w:rPr>
        <w:t xml:space="preserve"> is the function after aligning.</w:t>
      </w:r>
    </w:p>
    <w:p>
      <w:pPr>
        <w:pStyle w:val="12"/>
        <w:numPr>
          <w:ilvl w:val="1"/>
          <w:numId w:val="5"/>
        </w:numPr>
        <w:spacing w:after="160" w:line="240" w:lineRule="atLeast"/>
        <w:ind w:left="584" w:hanging="584" w:hangingChars="270"/>
        <w:rPr>
          <w:rFonts w:ascii="Times New Roman" w:hAnsi="Times New Roman" w:cs="Times New Roman"/>
          <w:b/>
          <w:sz w:val="20"/>
          <w:szCs w:val="20"/>
        </w:rPr>
      </w:pPr>
      <w:r>
        <w:rPr>
          <w:rFonts w:ascii="Times New Roman" w:hAnsi="Times New Roman" w:cs="Times New Roman"/>
          <w:b/>
          <w:sz w:val="20"/>
          <w:szCs w:val="20"/>
        </w:rPr>
        <w:t>Solving Model</w:t>
      </w:r>
    </w:p>
    <w:p>
      <w:pPr>
        <w:spacing w:line="240" w:lineRule="atLeast"/>
        <w:rPr>
          <w:sz w:val="20"/>
          <w:szCs w:val="20"/>
        </w:rPr>
      </w:pPr>
      <w:r>
        <w:rPr>
          <w:sz w:val="20"/>
          <w:szCs w:val="20"/>
        </w:rPr>
        <w:t>Reference [9, 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p>
    <w:p>
      <w:pPr>
        <w:spacing w:after="240" w:line="240" w:lineRule="atLeast"/>
        <w:ind w:firstLine="227"/>
        <w:rPr>
          <w:sz w:val="20"/>
          <w:szCs w:val="20"/>
        </w:rPr>
      </w:pPr>
      <w:r>
        <w:rPr>
          <w:sz w:val="20"/>
          <w:szCs w:val="20"/>
        </w:rPr>
        <w:t>Main steps are listed:</w:t>
      </w:r>
    </w:p>
    <w:p>
      <w:pPr>
        <w:pStyle w:val="12"/>
        <w:numPr>
          <w:ilvl w:val="0"/>
          <w:numId w:val="6"/>
        </w:numPr>
        <w:tabs>
          <w:tab w:val="left" w:pos="567"/>
        </w:tabs>
        <w:spacing w:line="240" w:lineRule="atLeast"/>
        <w:ind w:left="567" w:leftChars="108" w:hanging="340" w:firstLineChars="0"/>
        <w:rPr>
          <w:rFonts w:ascii="Times New Roman" w:hAnsi="Times New Roman" w:cs="Times New Roman"/>
          <w:sz w:val="20"/>
          <w:szCs w:val="20"/>
        </w:rPr>
      </w:pPr>
      <w:r>
        <w:rPr>
          <w:rFonts w:ascii="Times New Roman" w:hAnsi="Times New Roman" w:cs="Times New Roman"/>
          <w:sz w:val="20"/>
          <w:szCs w:val="20"/>
        </w:rPr>
        <w:t>Input WAMS/SCADA data in the same period.</w:t>
      </w:r>
    </w:p>
    <w:p>
      <w:pPr>
        <w:pStyle w:val="12"/>
        <w:numPr>
          <w:ilvl w:val="0"/>
          <w:numId w:val="6"/>
        </w:numPr>
        <w:tabs>
          <w:tab w:val="left" w:pos="567"/>
        </w:tabs>
        <w:spacing w:line="240" w:lineRule="atLeast"/>
        <w:ind w:left="567" w:leftChars="108" w:hanging="340" w:firstLineChars="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Pr>
          <w:rFonts w:ascii="Times New Roman" w:hAnsi="Times New Roman" w:cs="Times New Roman"/>
          <w:position w:val="-10"/>
          <w:sz w:val="20"/>
          <w:szCs w:val="20"/>
        </w:rPr>
        <w:object>
          <v:shape id="_x0000_i1058" o:spt="75" type="#_x0000_t75" style="height:15.5pt;width:14.6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ascii="Times New Roman" w:hAnsi="Times New Roman" w:cs="Times New Roman"/>
          <w:sz w:val="20"/>
          <w:szCs w:val="20"/>
        </w:rPr>
        <w:t xml:space="preserve"> , and get the permitted errors of iteration.</w:t>
      </w:r>
    </w:p>
    <w:p>
      <w:pPr>
        <w:pStyle w:val="12"/>
        <w:numPr>
          <w:ilvl w:val="0"/>
          <w:numId w:val="6"/>
        </w:numPr>
        <w:tabs>
          <w:tab w:val="left" w:pos="567"/>
        </w:tabs>
        <w:spacing w:line="240" w:lineRule="atLeast"/>
        <w:ind w:left="567" w:leftChars="108" w:hanging="340" w:firstLineChars="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pPr>
        <w:pStyle w:val="12"/>
        <w:numPr>
          <w:ilvl w:val="0"/>
          <w:numId w:val="6"/>
        </w:numPr>
        <w:tabs>
          <w:tab w:val="left" w:pos="567"/>
        </w:tabs>
        <w:spacing w:line="240" w:lineRule="atLeast"/>
        <w:ind w:left="567" w:leftChars="108" w:hanging="340" w:firstLineChars="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pPr>
        <w:pStyle w:val="12"/>
        <w:numPr>
          <w:ilvl w:val="0"/>
          <w:numId w:val="6"/>
        </w:numPr>
        <w:tabs>
          <w:tab w:val="left" w:pos="567"/>
        </w:tabs>
        <w:spacing w:line="240" w:lineRule="atLeast"/>
        <w:ind w:left="567" w:leftChars="108" w:hanging="340" w:firstLineChars="0"/>
        <w:rPr>
          <w:rFonts w:ascii="Times New Roman" w:hAnsi="Times New Roman" w:cs="Times New Roman"/>
          <w:sz w:val="20"/>
          <w:szCs w:val="20"/>
        </w:rPr>
      </w:pPr>
      <w:r>
        <w:rPr>
          <w:rFonts w:ascii="Times New Roman" w:hAnsi="Times New Roman" w:cs="Times New Roman"/>
          <w:sz w:val="20"/>
          <w:szCs w:val="20"/>
        </w:rPr>
        <w:t>Redo step 3) and step 4) until convergence.</w:t>
      </w:r>
    </w:p>
    <w:p>
      <w:pPr>
        <w:pStyle w:val="20"/>
        <w:numPr>
          <w:ilvl w:val="0"/>
          <w:numId w:val="2"/>
        </w:numPr>
        <w:ind w:left="504" w:hanging="504" w:hangingChars="270"/>
      </w:pPr>
      <w:r>
        <w:t>WAMS/SCADA Correlation Data Fusion</w:t>
      </w:r>
    </w:p>
    <w:p>
      <w:pPr>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 The WAMS/SCADA hybrid measurement state estimation precision depends on device measurement precision and time synchronism of hybrid measurement data:</w:t>
      </w:r>
    </w:p>
    <w:p>
      <w:pPr>
        <w:spacing w:before="160" w:after="160" w:line="240" w:lineRule="atLeast"/>
        <w:jc w:val="right"/>
        <w:rPr>
          <w:sz w:val="20"/>
          <w:szCs w:val="20"/>
        </w:rPr>
      </w:pPr>
      <w:r>
        <w:rPr>
          <w:position w:val="-10"/>
          <w:sz w:val="20"/>
          <w:szCs w:val="20"/>
        </w:rPr>
        <w:object>
          <v:shape id="_x0000_i1059" o:spt="75" type="#_x0000_t75" style="height:15.5pt;width:45.5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sz w:val="20"/>
          <w:szCs w:val="20"/>
        </w:rPr>
        <w:t xml:space="preserve">                           (12)</w:t>
      </w:r>
    </w:p>
    <w:p>
      <w:pPr>
        <w:spacing w:line="240" w:lineRule="atLeast"/>
        <w:rPr>
          <w:sz w:val="20"/>
          <w:szCs w:val="20"/>
        </w:rPr>
      </w:pPr>
      <w:r>
        <w:rPr>
          <w:position w:val="-6"/>
          <w:sz w:val="20"/>
          <w:szCs w:val="20"/>
        </w:rPr>
        <w:object>
          <v:shape id="_x0000_i1060" o:spt="75" type="#_x0000_t75" style="height:9.1pt;width:11.8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sz w:val="20"/>
          <w:szCs w:val="20"/>
        </w:rPr>
        <w:t xml:space="preserve"> is global error of measurement data. </w:t>
      </w:r>
      <w:r>
        <w:rPr>
          <w:position w:val="-10"/>
          <w:sz w:val="20"/>
          <w:szCs w:val="20"/>
        </w:rPr>
        <w:object>
          <v:shape id="_x0000_i1061" o:spt="75" type="#_x0000_t75" style="height:15.5pt;width:9.1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sz w:val="20"/>
          <w:szCs w:val="20"/>
        </w:rPr>
        <w:t xml:space="preserve"> is the error caused by time synchronism. </w:t>
      </w:r>
      <w:r>
        <w:rPr>
          <w:position w:val="-10"/>
          <w:sz w:val="20"/>
          <w:szCs w:val="20"/>
        </w:rPr>
        <w:object>
          <v:shape id="_x0000_i1062" o:spt="75" type="#_x0000_t75" style="height:15.5pt;width:11.8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sz w:val="20"/>
          <w:szCs w:val="20"/>
        </w:rPr>
        <w:t xml:space="preserve"> is the error from system.</w:t>
      </w:r>
    </w:p>
    <w:p>
      <w:pPr>
        <w:spacing w:line="240" w:lineRule="atLeast"/>
        <w:ind w:firstLine="200" w:firstLineChars="100"/>
        <w:rPr>
          <w:sz w:val="20"/>
          <w:szCs w:val="20"/>
        </w:rPr>
      </w:pPr>
      <w:r>
        <w:rPr>
          <w:sz w:val="20"/>
          <w:szCs w:val="20"/>
        </w:rPr>
        <w:t xml:space="preserve">The error </w:t>
      </w:r>
      <w:r>
        <w:rPr>
          <w:position w:val="-10"/>
          <w:sz w:val="20"/>
          <w:szCs w:val="20"/>
        </w:rPr>
        <w:object>
          <v:shape id="_x0000_i1063" o:spt="75" type="#_x0000_t75" style="height:15.5pt;width:9.1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sz w:val="20"/>
          <w:szCs w:val="20"/>
        </w:rPr>
        <w:t xml:space="preserve"> caused by synchronism is:</w:t>
      </w:r>
    </w:p>
    <w:p>
      <w:pPr>
        <w:wordWrap w:val="0"/>
        <w:spacing w:before="160" w:after="160" w:line="240" w:lineRule="atLeast"/>
        <w:jc w:val="right"/>
        <w:rPr>
          <w:sz w:val="20"/>
          <w:szCs w:val="20"/>
        </w:rPr>
      </w:pPr>
      <w:r>
        <w:rPr>
          <w:position w:val="-10"/>
          <w:sz w:val="20"/>
          <w:szCs w:val="20"/>
        </w:rPr>
        <w:object>
          <v:shape id="_x0000_i1064" o:spt="75" type="#_x0000_t75" style="height:15.5pt;width:33.7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sz w:val="20"/>
          <w:szCs w:val="20"/>
        </w:rPr>
        <w:t xml:space="preserve">       </w:t>
      </w:r>
      <w:r>
        <w:rPr>
          <w:rFonts w:hint="eastAsia"/>
          <w:sz w:val="20"/>
          <w:szCs w:val="20"/>
        </w:rPr>
        <w:t xml:space="preserve">   </w:t>
      </w:r>
      <w:r>
        <w:rPr>
          <w:rFonts w:hint="eastAsia"/>
          <w:color w:val="FF0000"/>
          <w:sz w:val="20"/>
          <w:szCs w:val="20"/>
        </w:rPr>
        <w:t xml:space="preserve">   </w:t>
      </w:r>
      <w:r>
        <w:rPr>
          <w:rFonts w:hint="eastAsia"/>
          <w:sz w:val="20"/>
          <w:szCs w:val="20"/>
        </w:rPr>
        <w:t xml:space="preserve">         </w:t>
      </w:r>
      <w:r>
        <w:rPr>
          <w:sz w:val="20"/>
          <w:szCs w:val="20"/>
        </w:rPr>
        <w:t xml:space="preserve">     (13)</w:t>
      </w:r>
    </w:p>
    <w:p>
      <w:pPr>
        <w:spacing w:line="240" w:lineRule="atLeast"/>
        <w:rPr>
          <w:sz w:val="20"/>
          <w:szCs w:val="20"/>
        </w:rPr>
      </w:pPr>
      <w:r>
        <w:rPr>
          <w:position w:val="-6"/>
          <w:sz w:val="20"/>
          <w:szCs w:val="20"/>
        </w:rPr>
        <w:object>
          <v:shape id="_x0000_i1065" o:spt="75" type="#_x0000_t75" style="height:12.75pt;width:9.1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sz w:val="20"/>
          <w:szCs w:val="20"/>
        </w:rPr>
        <w:t xml:space="preserve"> is the gradient of measurement data. </w:t>
      </w:r>
      <w:r>
        <w:rPr>
          <w:position w:val="-10"/>
          <w:sz w:val="20"/>
          <w:szCs w:val="20"/>
        </w:rPr>
        <w:object>
          <v:shape id="_x0000_i1066" o:spt="75" type="#_x0000_t75" style="height:15.5pt;width:11.85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sz w:val="20"/>
          <w:szCs w:val="20"/>
        </w:rPr>
        <w:t xml:space="preserve"> is the deviation between measurement moment and hybrid measurement data synchronism moment.</w:t>
      </w:r>
    </w:p>
    <w:p>
      <w:pPr>
        <w:spacing w:line="240" w:lineRule="atLeast"/>
        <w:ind w:firstLine="227"/>
        <w:rPr>
          <w:sz w:val="20"/>
          <w:szCs w:val="20"/>
        </w:rPr>
      </w:pPr>
      <w:r>
        <w:rPr>
          <w:sz w:val="20"/>
          <w:szCs w:val="20"/>
        </w:rPr>
        <w:t xml:space="preserve">With knowing the system error, global error can be gotten by solving the deviation between measurement moment and hybrid measurement data synchronism moment to work out the precision of mixed measured state estimation. WAMS data has better time scale characteristics. Therefore, </w:t>
      </w:r>
      <w:r>
        <w:rPr>
          <w:position w:val="-10"/>
          <w:sz w:val="20"/>
          <w:szCs w:val="20"/>
        </w:rPr>
        <w:object>
          <v:shape id="_x0000_i1067" o:spt="75" type="#_x0000_t75" style="height:15.5pt;width:9.1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sz w:val="20"/>
          <w:szCs w:val="20"/>
        </w:rPr>
        <w:t xml:space="preserve"> can be gotten by comparing WAMS time scale with the most correlative moment. Every measurement data has its own time delay </w:t>
      </w:r>
      <w:r>
        <w:rPr>
          <w:position w:val="-10"/>
          <w:sz w:val="20"/>
          <w:szCs w:val="20"/>
        </w:rPr>
        <w:object>
          <v:shape id="_x0000_i1068" o:spt="75" type="#_x0000_t75" style="height:15.5pt;width:11.85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sz w:val="20"/>
          <w:szCs w:val="20"/>
        </w:rPr>
        <w:t>, which has the following probability density:</w:t>
      </w:r>
    </w:p>
    <w:p>
      <w:pPr>
        <w:wordWrap w:val="0"/>
        <w:spacing w:before="160" w:after="160" w:line="240" w:lineRule="atLeast"/>
        <w:jc w:val="right"/>
        <w:rPr>
          <w:sz w:val="20"/>
          <w:szCs w:val="20"/>
        </w:rPr>
      </w:pPr>
      <w:r>
        <w:rPr>
          <w:position w:val="-28"/>
          <w:sz w:val="20"/>
          <w:szCs w:val="20"/>
        </w:rPr>
        <w:object>
          <v:shape id="_x0000_i1069" o:spt="75" type="#_x0000_t75" style="height:38.3pt;width:102.1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sz w:val="20"/>
          <w:szCs w:val="20"/>
        </w:rPr>
        <w:t xml:space="preserve"> </w:t>
      </w:r>
      <w:r>
        <w:rPr>
          <w:rFonts w:hint="eastAsia"/>
          <w:sz w:val="20"/>
          <w:szCs w:val="20"/>
        </w:rPr>
        <w:t xml:space="preserve">            </w:t>
      </w:r>
      <w:r>
        <w:rPr>
          <w:sz w:val="20"/>
          <w:szCs w:val="20"/>
        </w:rPr>
        <w:t xml:space="preserve">      (14)</w:t>
      </w:r>
    </w:p>
    <w:p>
      <w:pPr>
        <w:spacing w:line="240" w:lineRule="atLeast"/>
        <w:rPr>
          <w:sz w:val="20"/>
          <w:szCs w:val="20"/>
        </w:rPr>
      </w:pPr>
      <w:r>
        <w:rPr>
          <w:position w:val="-10"/>
          <w:sz w:val="20"/>
          <w:szCs w:val="20"/>
        </w:rPr>
        <w:object>
          <v:shape id="_x0000_i1070" o:spt="75" type="#_x0000_t75" style="height:15.5pt;width:12.7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sz w:val="20"/>
          <w:szCs w:val="20"/>
        </w:rPr>
        <w:t xml:space="preserve">is variance of </w:t>
      </w:r>
      <w:r>
        <w:rPr>
          <w:position w:val="-10"/>
          <w:sz w:val="20"/>
          <w:szCs w:val="20"/>
        </w:rPr>
        <w:object>
          <v:shape id="_x0000_i1071" o:spt="75" type="#_x0000_t75" style="height:15.5pt;width:11.8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sz w:val="20"/>
          <w:szCs w:val="20"/>
        </w:rPr>
        <w:t xml:space="preserve">. </w:t>
      </w:r>
      <w:r>
        <w:rPr>
          <w:position w:val="-6"/>
          <w:sz w:val="20"/>
          <w:szCs w:val="20"/>
        </w:rPr>
        <w:object>
          <v:shape id="_x0000_i1072" o:spt="75" type="#_x0000_t75" style="height:11.85pt;width:6.4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97">
            <o:LockedField>false</o:LockedField>
          </o:OLEObject>
        </w:object>
      </w:r>
      <w:r>
        <w:rPr>
          <w:sz w:val="20"/>
          <w:szCs w:val="20"/>
        </w:rPr>
        <w:t xml:space="preserve">is hybrid measurement data </w:t>
      </w:r>
      <w:bookmarkStart w:id="6" w:name="OLE_LINK6"/>
      <w:bookmarkStart w:id="7" w:name="OLE_LINK5"/>
      <w:r>
        <w:rPr>
          <w:sz w:val="20"/>
          <w:szCs w:val="20"/>
        </w:rPr>
        <w:t>synchronism</w:t>
      </w:r>
      <w:bookmarkEnd w:id="6"/>
      <w:bookmarkEnd w:id="7"/>
      <w:r>
        <w:rPr>
          <w:sz w:val="20"/>
          <w:szCs w:val="20"/>
        </w:rPr>
        <w:t xml:space="preserve"> moment.</w:t>
      </w:r>
    </w:p>
    <w:p>
      <w:pPr>
        <w:spacing w:line="240" w:lineRule="atLeast"/>
        <w:ind w:firstLine="227"/>
        <w:rPr>
          <w:sz w:val="20"/>
          <w:szCs w:val="20"/>
        </w:rPr>
      </w:pPr>
      <w:r>
        <w:rPr>
          <w:sz w:val="20"/>
          <w:szCs w:val="20"/>
        </w:rPr>
        <w:t>During precise calculation, errors of devices and time synchronism have no effect on each other. So the variance of global error can be described with:</w:t>
      </w:r>
    </w:p>
    <w:p>
      <w:pPr>
        <w:wordWrap w:val="0"/>
        <w:spacing w:before="160" w:after="160" w:line="240" w:lineRule="atLeast"/>
        <w:jc w:val="right"/>
        <w:rPr>
          <w:sz w:val="20"/>
          <w:szCs w:val="20"/>
        </w:rPr>
      </w:pPr>
      <w:r>
        <w:rPr>
          <w:position w:val="-34"/>
          <w:sz w:val="20"/>
          <w:szCs w:val="20"/>
        </w:rPr>
        <w:object>
          <v:shape id="_x0000_i1073" o:spt="75" type="#_x0000_t75" style="height:33.7pt;width:57.4pt;" o:ole="t" filled="f" o:preferrelative="t" stroked="f" coordsize="21600,21600">
            <v:path/>
            <v:fill on="f" focussize="0,0"/>
            <v:stroke on="f" joinstyle="miter"/>
            <v:imagedata r:id="rId100" o:title=""/>
            <o:lock v:ext="edit" aspectratio="t"/>
            <w10:wrap type="none"/>
            <w10:anchorlock/>
          </v:shape>
          <o:OLEObject Type="Embed" ProgID="Equation.DSMT4" ShapeID="_x0000_i1073" DrawAspect="Content" ObjectID="_1468075773" r:id="rId99">
            <o:LockedField>false</o:LockedField>
          </o:OLEObject>
        </w:object>
      </w:r>
      <w:r>
        <w:rPr>
          <w:sz w:val="20"/>
          <w:szCs w:val="20"/>
        </w:rPr>
        <w:t xml:space="preserve">  </w:t>
      </w:r>
      <w:r>
        <w:rPr>
          <w:rFonts w:hint="eastAsia"/>
          <w:sz w:val="20"/>
          <w:szCs w:val="20"/>
        </w:rPr>
        <w:t xml:space="preserve">            </w:t>
      </w:r>
      <w:r>
        <w:rPr>
          <w:sz w:val="20"/>
          <w:szCs w:val="20"/>
        </w:rPr>
        <w:t xml:space="preserve">           (15)</w:t>
      </w:r>
    </w:p>
    <w:p>
      <w:pPr>
        <w:pStyle w:val="20"/>
        <w:numPr>
          <w:ilvl w:val="0"/>
          <w:numId w:val="2"/>
        </w:numPr>
        <w:ind w:left="504" w:hanging="504" w:hangingChars="270"/>
      </w:pPr>
      <w:r>
        <w:t>Simulation Case</w:t>
      </w:r>
    </w:p>
    <w:p>
      <w:pPr>
        <w:pStyle w:val="12"/>
        <w:numPr>
          <w:ilvl w:val="1"/>
          <w:numId w:val="7"/>
        </w:numPr>
        <w:spacing w:after="160" w:line="240" w:lineRule="atLeast"/>
        <w:ind w:left="584" w:hanging="584" w:hangingChars="270"/>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pPr>
        <w:spacing w:line="240" w:lineRule="atLeast"/>
        <w:rPr>
          <w:sz w:val="20"/>
          <w:szCs w:val="20"/>
        </w:rPr>
      </w:pPr>
      <w:r>
        <w:rPr>
          <w:sz w:val="20"/>
          <w:szCs w:val="20"/>
        </w:rPr>
        <w:t>In this paper, the following indexes are used to evaluate:</w:t>
      </w:r>
    </w:p>
    <w:p>
      <w:pPr>
        <w:wordWrap w:val="0"/>
        <w:spacing w:before="160" w:after="160" w:line="240" w:lineRule="atLeast"/>
        <w:jc w:val="right"/>
        <w:rPr>
          <w:sz w:val="20"/>
          <w:szCs w:val="20"/>
        </w:rPr>
      </w:pPr>
      <w:r>
        <w:rPr>
          <w:position w:val="-54"/>
          <w:sz w:val="20"/>
          <w:szCs w:val="20"/>
        </w:rPr>
        <w:object>
          <v:shape id="_x0000_i1074" o:spt="75" type="#_x0000_t75" style="height:59.25pt;width:80.2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74" r:id="rId101">
            <o:LockedField>false</o:LockedField>
          </o:OLEObject>
        </w:object>
      </w:r>
      <w:r>
        <w:rPr>
          <w:sz w:val="20"/>
          <w:szCs w:val="20"/>
        </w:rPr>
        <w:t xml:space="preserve">   </w:t>
      </w:r>
      <w:r>
        <w:rPr>
          <w:rFonts w:hint="eastAsia"/>
          <w:sz w:val="20"/>
          <w:szCs w:val="20"/>
        </w:rPr>
        <w:t xml:space="preserve">           </w:t>
      </w:r>
      <w:r>
        <w:rPr>
          <w:sz w:val="20"/>
          <w:szCs w:val="20"/>
        </w:rPr>
        <w:t xml:space="preserve">        (16)</w:t>
      </w:r>
    </w:p>
    <w:p>
      <w:pPr>
        <w:wordWrap w:val="0"/>
        <w:spacing w:before="160" w:after="160" w:line="240" w:lineRule="atLeast"/>
        <w:jc w:val="right"/>
        <w:rPr>
          <w:sz w:val="20"/>
          <w:szCs w:val="20"/>
        </w:rPr>
      </w:pPr>
      <w:r>
        <w:rPr>
          <w:position w:val="-26"/>
          <w:sz w:val="20"/>
          <w:szCs w:val="20"/>
        </w:rPr>
        <w:object>
          <v:shape id="_x0000_i1075" o:spt="75" type="#_x0000_t75" style="height:31pt;width:57.4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rPr>
          <w:sz w:val="20"/>
          <w:szCs w:val="20"/>
        </w:rPr>
        <w:t xml:space="preserve">     </w:t>
      </w:r>
      <w:r>
        <w:rPr>
          <w:rFonts w:hint="eastAsia"/>
          <w:sz w:val="20"/>
          <w:szCs w:val="20"/>
        </w:rPr>
        <w:t xml:space="preserve">          </w:t>
      </w:r>
      <w:r>
        <w:rPr>
          <w:sz w:val="20"/>
          <w:szCs w:val="20"/>
        </w:rPr>
        <w:t xml:space="preserve">         (17)</w:t>
      </w:r>
    </w:p>
    <w:p>
      <w:pPr>
        <w:spacing w:line="240" w:lineRule="atLeast"/>
        <w:rPr>
          <w:sz w:val="20"/>
          <w:szCs w:val="20"/>
        </w:rPr>
      </w:pPr>
      <w:r>
        <w:rPr>
          <w:sz w:val="20"/>
          <w:szCs w:val="20"/>
        </w:rPr>
        <w:t>Formula (19) shows correlation fusion of time-series data on moment k. Formula (20) shows correlation fusion of time-series data during the whole time.</w:t>
      </w:r>
    </w:p>
    <w:p>
      <w:pPr>
        <w:spacing w:line="240" w:lineRule="atLeast"/>
        <w:ind w:firstLine="227"/>
        <w:rPr>
          <w:sz w:val="20"/>
          <w:szCs w:val="20"/>
        </w:rPr>
      </w:pPr>
      <w:r>
        <w:rPr>
          <w:position w:val="-12"/>
          <w:sz w:val="20"/>
          <w:szCs w:val="20"/>
        </w:rPr>
        <w:object>
          <v:shape id="_x0000_i1076" o:spt="75" type="#_x0000_t75" style="height:18.25pt;width:15.5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sz w:val="20"/>
          <w:szCs w:val="20"/>
        </w:rPr>
        <w:t xml:space="preserve"> is true value of measurement </w:t>
      </w:r>
      <w:r>
        <w:rPr>
          <w:position w:val="-6"/>
          <w:sz w:val="20"/>
          <w:szCs w:val="20"/>
        </w:rPr>
        <w:object>
          <v:shape id="_x0000_i1077" o:spt="75" type="#_x0000_t75" style="height:11.85pt;width:6.4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sz w:val="20"/>
          <w:szCs w:val="20"/>
        </w:rPr>
        <w:t xml:space="preserve"> on moment </w:t>
      </w:r>
      <w:r>
        <w:rPr>
          <w:position w:val="-6"/>
          <w:sz w:val="20"/>
          <w:szCs w:val="20"/>
        </w:rPr>
        <w:object>
          <v:shape id="_x0000_i1078" o:spt="75" type="#_x0000_t75" style="height:12.75pt;width:9.1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sz w:val="20"/>
          <w:szCs w:val="20"/>
        </w:rPr>
        <w:t xml:space="preserve"> in sequence. </w:t>
      </w:r>
      <w:r>
        <w:rPr>
          <w:position w:val="-12"/>
          <w:sz w:val="20"/>
          <w:szCs w:val="20"/>
        </w:rPr>
        <w:object>
          <v:shape id="_x0000_i1079" o:spt="75" type="#_x0000_t75" style="height:17.3pt;width:15.5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sz w:val="20"/>
          <w:szCs w:val="20"/>
        </w:rPr>
        <w:t xml:space="preserve"> is estimated value of measurement </w:t>
      </w:r>
      <w:r>
        <w:rPr>
          <w:position w:val="-6"/>
          <w:sz w:val="20"/>
          <w:szCs w:val="20"/>
        </w:rPr>
        <w:object>
          <v:shape id="_x0000_i1080" o:spt="75" type="#_x0000_t75" style="height:11.85pt;width:6.4pt;" o:ole="t" filled="f" o:preferrelative="t" stroked="f" coordsize="21600,21600">
            <v:path/>
            <v:fill on="f" focussize="0,0"/>
            <v:stroke on="f" joinstyle="miter"/>
            <v:imagedata r:id="rId108" o:title=""/>
            <o:lock v:ext="edit" aspectratio="t"/>
            <w10:wrap type="none"/>
            <w10:anchorlock/>
          </v:shape>
          <o:OLEObject Type="Embed" ProgID="Equation.DSMT4" ShapeID="_x0000_i1080" DrawAspect="Content" ObjectID="_1468075780" r:id="rId113">
            <o:LockedField>false</o:LockedField>
          </o:OLEObject>
        </w:object>
      </w:r>
      <w:r>
        <w:rPr>
          <w:sz w:val="20"/>
          <w:szCs w:val="20"/>
        </w:rPr>
        <w:t xml:space="preserve"> on moment </w:t>
      </w:r>
      <w:r>
        <w:rPr>
          <w:position w:val="-6"/>
          <w:sz w:val="20"/>
          <w:szCs w:val="20"/>
        </w:rPr>
        <w:object>
          <v:shape id="_x0000_i1081" o:spt="75" type="#_x0000_t75" style="height:12.75pt;width:9.1pt;" o:ole="t" filled="f" o:preferrelative="t" stroked="f" coordsize="21600,21600">
            <v:path/>
            <v:fill on="f" focussize="0,0"/>
            <v:stroke on="f" joinstyle="miter"/>
            <v:imagedata r:id="rId110" o:title=""/>
            <o:lock v:ext="edit" aspectratio="t"/>
            <w10:wrap type="none"/>
            <w10:anchorlock/>
          </v:shape>
          <o:OLEObject Type="Embed" ProgID="Equation.DSMT4" ShapeID="_x0000_i1081" DrawAspect="Content" ObjectID="_1468075781" r:id="rId114">
            <o:LockedField>false</o:LockedField>
          </o:OLEObject>
        </w:object>
      </w:r>
      <w:r>
        <w:rPr>
          <w:sz w:val="20"/>
          <w:szCs w:val="20"/>
        </w:rPr>
        <w:t xml:space="preserve"> in sequence. N is dimension of measurement vectors. M is the number of measurement.</w:t>
      </w:r>
    </w:p>
    <w:p>
      <w:pPr>
        <w:spacing w:line="240" w:lineRule="atLeast"/>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pPr>
        <w:spacing w:before="360" w:line="240" w:lineRule="atLeast"/>
        <w:ind w:firstLine="227"/>
      </w:pPr>
      <w:r>
        <w:rPr>
          <w:lang w:eastAsia="en-US"/>
        </w:rPr>
        <w:drawing>
          <wp:inline distT="0" distB="0" distL="0" distR="0">
            <wp:extent cx="2501900" cy="1794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2501900" cy="1795014"/>
                    </a:xfrm>
                    <a:prstGeom prst="rect">
                      <a:avLst/>
                    </a:prstGeom>
                    <a:noFill/>
                    <a:ln>
                      <a:noFill/>
                    </a:ln>
                  </pic:spPr>
                </pic:pic>
              </a:graphicData>
            </a:graphic>
          </wp:inline>
        </w:drawing>
      </w:r>
    </w:p>
    <w:p>
      <w:pPr>
        <w:pStyle w:val="22"/>
        <w:jc w:val="both"/>
        <w:rPr>
          <w:rFonts w:eastAsia="黑体"/>
          <w:b/>
          <w:bCs/>
        </w:rPr>
      </w:pPr>
      <w:r>
        <w:rPr>
          <w:rFonts w:eastAsia="黑体"/>
          <w:b/>
          <w:bCs/>
        </w:rPr>
        <w:t>Fig.</w:t>
      </w:r>
      <w:r>
        <w:rPr>
          <w:rFonts w:hint="eastAsia" w:eastAsia="黑体"/>
          <w:b/>
          <w:bCs/>
          <w:lang w:eastAsia="zh-CN"/>
        </w:rPr>
        <w:t xml:space="preserve"> </w:t>
      </w:r>
      <w:r>
        <w:rPr>
          <w:rFonts w:eastAsia="黑体"/>
          <w:b/>
          <w:bCs/>
        </w:rPr>
        <w:t>1</w:t>
      </w:r>
      <w:r>
        <w:rPr>
          <w:rFonts w:hint="eastAsia" w:eastAsia="黑体"/>
          <w:b/>
          <w:bCs/>
          <w:lang w:eastAsia="zh-CN"/>
        </w:rPr>
        <w:t>.</w:t>
      </w:r>
      <w:r>
        <w:rPr>
          <w:rFonts w:eastAsia="黑体"/>
          <w:bCs/>
        </w:rPr>
        <w:t xml:space="preserve"> IEEE 118 nodes system</w:t>
      </w:r>
    </w:p>
    <w:p>
      <w:pPr>
        <w:pStyle w:val="12"/>
        <w:numPr>
          <w:ilvl w:val="1"/>
          <w:numId w:val="7"/>
        </w:numPr>
        <w:spacing w:after="160" w:line="240" w:lineRule="atLeast"/>
        <w:ind w:left="584" w:hanging="584" w:hangingChars="270"/>
        <w:rPr>
          <w:rFonts w:ascii="Times New Roman" w:hAnsi="Times New Roman" w:cs="Times New Roman"/>
          <w:b/>
          <w:sz w:val="20"/>
          <w:szCs w:val="20"/>
        </w:rPr>
      </w:pPr>
      <w:r>
        <w:rPr>
          <w:rFonts w:hint="eastAsia" w:ascii="Times New Roman" w:hAnsi="Times New Roman" w:cs="Times New Roman"/>
          <w:b/>
          <w:sz w:val="20"/>
          <w:szCs w:val="20"/>
        </w:rPr>
        <w:t xml:space="preserve">Data </w:t>
      </w:r>
      <w:r>
        <w:rPr>
          <w:rFonts w:ascii="Times New Roman" w:hAnsi="Times New Roman" w:cs="Times New Roman"/>
          <w:b/>
          <w:sz w:val="20"/>
          <w:szCs w:val="20"/>
        </w:rPr>
        <w:t>F</w:t>
      </w:r>
      <w:r>
        <w:rPr>
          <w:rFonts w:hint="eastAsia" w:ascii="Times New Roman" w:hAnsi="Times New Roman" w:cs="Times New Roman"/>
          <w:b/>
          <w:sz w:val="20"/>
          <w:szCs w:val="20"/>
        </w:rPr>
        <w:t xml:space="preserve">usion </w:t>
      </w:r>
      <w:r>
        <w:rPr>
          <w:rFonts w:ascii="Times New Roman" w:hAnsi="Times New Roman" w:cs="Times New Roman"/>
          <w:b/>
          <w:sz w:val="20"/>
          <w:szCs w:val="20"/>
        </w:rPr>
        <w:t>S</w:t>
      </w:r>
      <w:r>
        <w:rPr>
          <w:rFonts w:hint="eastAsia" w:ascii="Times New Roman" w:hAnsi="Times New Roman" w:cs="Times New Roman"/>
          <w:b/>
          <w:sz w:val="20"/>
          <w:szCs w:val="20"/>
        </w:rPr>
        <w:t xml:space="preserve">imulation </w:t>
      </w:r>
      <w:r>
        <w:rPr>
          <w:rFonts w:ascii="Times New Roman" w:hAnsi="Times New Roman" w:cs="Times New Roman"/>
          <w:b/>
          <w:sz w:val="20"/>
          <w:szCs w:val="20"/>
        </w:rPr>
        <w:t>Experiment</w:t>
      </w:r>
    </w:p>
    <w:p>
      <w:pPr>
        <w:spacing w:after="240" w:line="240" w:lineRule="atLeast"/>
        <w:rPr>
          <w:sz w:val="20"/>
          <w:szCs w:val="20"/>
        </w:rPr>
      </w:pPr>
      <w:r>
        <w:rPr>
          <w:sz w:val="20"/>
          <w:szCs w:val="20"/>
        </w:rPr>
        <w:t>There are three cases in the simulation. They all experience stabilization period, disturbance period and returning stabilization period.</w:t>
      </w:r>
    </w:p>
    <w:p>
      <w:pPr>
        <w:spacing w:line="240" w:lineRule="atLeast"/>
        <w:ind w:firstLine="227"/>
        <w:rPr>
          <w:sz w:val="20"/>
          <w:szCs w:val="20"/>
        </w:rPr>
      </w:pPr>
      <w:r>
        <w:rPr>
          <w:sz w:val="20"/>
          <w:szCs w:val="20"/>
        </w:rPr>
        <w:t>Case 1: Only use SCADA data to estimate state.</w:t>
      </w:r>
    </w:p>
    <w:p>
      <w:pPr>
        <w:spacing w:line="240" w:lineRule="atLeast"/>
        <w:ind w:firstLine="227"/>
        <w:rPr>
          <w:sz w:val="20"/>
          <w:szCs w:val="20"/>
        </w:rPr>
      </w:pPr>
      <w:r>
        <w:rPr>
          <w:sz w:val="20"/>
          <w:szCs w:val="20"/>
        </w:rPr>
        <w:t>Case 2: Estimate state without WAMS/SCADA data</w:t>
      </w:r>
    </w:p>
    <w:p>
      <w:pPr>
        <w:spacing w:line="240" w:lineRule="atLeast"/>
        <w:ind w:firstLine="227"/>
        <w:rPr>
          <w:sz w:val="20"/>
          <w:szCs w:val="20"/>
        </w:rPr>
      </w:pPr>
      <w:r>
        <w:rPr>
          <w:sz w:val="20"/>
          <w:szCs w:val="20"/>
        </w:rPr>
        <w:t>Case 3: Estimate state after WAMS/SCADA data fusion</w:t>
      </w:r>
    </w:p>
    <w:p>
      <w:pPr>
        <w:spacing w:before="240" w:line="240" w:lineRule="atLeast"/>
        <w:rPr>
          <w:sz w:val="20"/>
          <w:szCs w:val="20"/>
        </w:rPr>
      </w:pPr>
      <w:r>
        <w:rPr>
          <w:sz w:val="20"/>
          <w:szCs w:val="20"/>
        </w:rPr>
        <w:t xml:space="preserve">The final results are showed with estimated standard deviation after state estimation. Case 3 use the correlation coefficient in some period to make that </w:t>
      </w:r>
      <w:r>
        <w:rPr>
          <w:position w:val="-6"/>
          <w:sz w:val="20"/>
          <w:szCs w:val="20"/>
        </w:rPr>
        <w:object>
          <v:shape id="_x0000_i1082" o:spt="75" type="#_x0000_t75" style="height:11.85pt;width:6.4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sz w:val="20"/>
          <w:szCs w:val="20"/>
        </w:rPr>
        <w:t xml:space="preserve"> is the datum. When they are not synchronous, the differences of data’s stabilization will be removed by solving curve alignment function.</w:t>
      </w:r>
    </w:p>
    <w:p>
      <w:pPr>
        <w:spacing w:line="240" w:lineRule="atLeast"/>
        <w:ind w:firstLine="200" w:firstLineChars="100"/>
        <w:rPr>
          <w:sz w:val="20"/>
          <w:szCs w:val="20"/>
        </w:rPr>
      </w:pPr>
      <w:r>
        <w:rPr>
          <w:sz w:val="20"/>
          <w:szCs w:val="20"/>
        </w:rPr>
        <w:t>The simulation result is showed as Fig. 2:</w:t>
      </w:r>
    </w:p>
    <w:p>
      <w:pPr>
        <w:spacing w:before="360" w:line="240" w:lineRule="atLeast"/>
        <w:ind w:firstLine="227"/>
      </w:pPr>
      <w:bookmarkStart w:id="8" w:name="_1314970232"/>
      <w:bookmarkEnd w:id="8"/>
      <w:bookmarkStart w:id="9" w:name="_1314965569"/>
      <w:bookmarkEnd w:id="9"/>
      <w:bookmarkStart w:id="10" w:name="_1314965847"/>
      <w:bookmarkEnd w:id="10"/>
      <w:bookmarkStart w:id="11" w:name="_1315001318"/>
      <w:bookmarkEnd w:id="11"/>
      <w:bookmarkStart w:id="12" w:name="_1315138159"/>
      <w:bookmarkEnd w:id="12"/>
      <w:bookmarkStart w:id="13" w:name="_1315143116"/>
      <w:bookmarkEnd w:id="13"/>
      <w:bookmarkStart w:id="14" w:name="_1315163173"/>
      <w:bookmarkEnd w:id="14"/>
      <w:bookmarkStart w:id="15" w:name="_1315165404"/>
      <w:bookmarkEnd w:id="15"/>
      <w:bookmarkStart w:id="16" w:name="_1315957267"/>
      <w:bookmarkEnd w:id="16"/>
      <w:bookmarkStart w:id="17" w:name="_1315957446"/>
      <w:bookmarkEnd w:id="17"/>
      <w:bookmarkStart w:id="18" w:name="_1315957449"/>
      <w:bookmarkEnd w:id="18"/>
      <w:bookmarkStart w:id="19" w:name="_1315957463"/>
      <w:bookmarkEnd w:id="19"/>
      <w:bookmarkStart w:id="20" w:name="_1315957478"/>
      <w:bookmarkEnd w:id="20"/>
      <w:bookmarkStart w:id="21" w:name="_1315957493"/>
      <w:bookmarkEnd w:id="21"/>
      <w:bookmarkStart w:id="22" w:name="_1315957522"/>
      <w:bookmarkEnd w:id="22"/>
      <w:bookmarkStart w:id="23" w:name="_1315957569"/>
      <w:bookmarkEnd w:id="23"/>
      <w:bookmarkStart w:id="24" w:name="_1315957602"/>
      <w:bookmarkEnd w:id="24"/>
      <w:bookmarkStart w:id="25" w:name="_1315957642"/>
      <w:bookmarkEnd w:id="25"/>
      <w:bookmarkStart w:id="26" w:name="_1315957656"/>
      <w:bookmarkEnd w:id="26"/>
      <w:bookmarkStart w:id="27" w:name="_1315958279"/>
      <w:bookmarkEnd w:id="27"/>
      <w:bookmarkStart w:id="28" w:name="_1315958489"/>
      <w:bookmarkEnd w:id="28"/>
      <w:bookmarkStart w:id="29" w:name="_1315958493"/>
      <w:bookmarkEnd w:id="29"/>
      <w:bookmarkStart w:id="30" w:name="_1315958510"/>
      <w:bookmarkEnd w:id="30"/>
      <w:bookmarkStart w:id="31" w:name="_1315958925"/>
      <w:bookmarkEnd w:id="31"/>
      <w:bookmarkStart w:id="32" w:name="_1315962878"/>
      <w:bookmarkEnd w:id="32"/>
      <w:bookmarkStart w:id="33" w:name="_1316386370"/>
      <w:bookmarkEnd w:id="33"/>
      <w:bookmarkStart w:id="34" w:name="_1316392416"/>
      <w:bookmarkEnd w:id="34"/>
      <w:bookmarkStart w:id="35" w:name="_1317853712"/>
      <w:bookmarkEnd w:id="35"/>
      <w:bookmarkStart w:id="36" w:name="_1317900643"/>
      <w:bookmarkEnd w:id="36"/>
      <w:bookmarkStart w:id="37" w:name="_1317902310"/>
      <w:bookmarkEnd w:id="37"/>
      <w:bookmarkStart w:id="38" w:name="_1317903069"/>
      <w:bookmarkEnd w:id="38"/>
      <w:bookmarkStart w:id="39" w:name="_1317903852"/>
      <w:bookmarkEnd w:id="39"/>
      <w:bookmarkStart w:id="40" w:name="_1317904660"/>
      <w:bookmarkEnd w:id="40"/>
      <w:bookmarkStart w:id="41" w:name="_1317916246"/>
      <w:bookmarkEnd w:id="41"/>
      <w:bookmarkStart w:id="42" w:name="_1318105658"/>
      <w:bookmarkEnd w:id="42"/>
      <w:bookmarkStart w:id="43" w:name="_1318109838"/>
      <w:bookmarkEnd w:id="43"/>
      <w:bookmarkStart w:id="44" w:name="_MON_1508571959"/>
      <w:bookmarkEnd w:id="44"/>
      <w:r>
        <w:object>
          <v:shape id="_x0000_i1083" o:spt="75" type="#_x0000_t75" style="height:129.4pt;width:207.8pt;" o:ole="t" filled="f" o:preferrelative="t" stroked="f" coordsize="21600,21600">
            <v:path/>
            <v:fill on="f" focussize="0,0"/>
            <v:stroke on="f" joinstyle="miter"/>
            <v:imagedata r:id="rId119" croptop="1239f" o:title=""/>
            <o:lock v:ext="edit" aspectratio="t"/>
            <w10:wrap type="none"/>
            <w10:anchorlock/>
          </v:shape>
          <o:OLEObject Type="Embed" ProgID="Word.Picture.8" ShapeID="_x0000_i1083" DrawAspect="Content" ObjectID="_1468075783" r:id="rId118">
            <o:LockedField>false</o:LockedField>
          </o:OLEObject>
        </w:object>
      </w:r>
    </w:p>
    <w:p>
      <w:pPr>
        <w:pStyle w:val="22"/>
        <w:jc w:val="both"/>
        <w:rPr>
          <w:rFonts w:eastAsia="黑体"/>
          <w:b/>
          <w:bCs/>
        </w:rPr>
      </w:pPr>
      <w:r>
        <w:rPr>
          <w:rFonts w:hint="eastAsia" w:eastAsia="黑体"/>
          <w:b/>
          <w:bCs/>
        </w:rPr>
        <w:t xml:space="preserve">Fig. </w:t>
      </w:r>
      <w:r>
        <w:rPr>
          <w:rFonts w:eastAsia="黑体"/>
          <w:b/>
          <w:bCs/>
        </w:rPr>
        <w:t>2</w:t>
      </w:r>
      <w:r>
        <w:rPr>
          <w:rFonts w:hint="eastAsia" w:eastAsia="黑体"/>
          <w:b/>
          <w:bCs/>
          <w:lang w:eastAsia="zh-CN"/>
        </w:rPr>
        <w:t>.</w:t>
      </w:r>
      <w:r>
        <w:rPr>
          <w:rFonts w:hint="eastAsia" w:eastAsia="黑体"/>
          <w:b/>
          <w:bCs/>
        </w:rPr>
        <w:t xml:space="preserve"> </w:t>
      </w:r>
      <w:r>
        <w:rPr>
          <w:rFonts w:eastAsia="黑体"/>
          <w:bCs/>
        </w:rPr>
        <w:t>Data fusion simulation results</w:t>
      </w:r>
    </w:p>
    <w:p>
      <w:pPr>
        <w:spacing w:line="240" w:lineRule="atLeast"/>
        <w:rPr>
          <w:sz w:val="20"/>
          <w:szCs w:val="20"/>
        </w:rPr>
      </w:pPr>
      <w:r>
        <w:rPr>
          <w:sz w:val="20"/>
          <w:szCs w:val="20"/>
        </w:rPr>
        <w:t>From the figure, firstly, simulation data’s precision is terrible and curve fluctuates when simply using SCADA data to estimate state. In Case 2, although state estimation can keep satisfied precision in stabilization period, the curve fluctuates when disturbing. In Case 3, state estimation keep satisfied precision both in stabilization period and disturbance period after correlation fusion. State estimation has been improved after time-series data correlation fusion.</w:t>
      </w:r>
    </w:p>
    <w:p>
      <w:pPr>
        <w:pStyle w:val="23"/>
        <w:rPr>
          <w:b/>
        </w:rPr>
      </w:pPr>
      <w:r>
        <w:rPr>
          <w:rFonts w:hint="eastAsia"/>
          <w:b/>
        </w:rPr>
        <w:t>Tab</w:t>
      </w:r>
      <w:r>
        <w:rPr>
          <w:b/>
        </w:rPr>
        <w:t xml:space="preserve">le </w:t>
      </w:r>
      <w:r>
        <w:rPr>
          <w:rFonts w:hint="eastAsia"/>
          <w:b/>
        </w:rPr>
        <w:t>1</w:t>
      </w:r>
      <w:r>
        <w:rPr>
          <w:rFonts w:hint="eastAsia" w:eastAsiaTheme="minorEastAsia"/>
          <w:b/>
          <w:lang w:eastAsia="zh-CN"/>
        </w:rPr>
        <w:t>.</w:t>
      </w:r>
      <w:r>
        <w:rPr>
          <w:rFonts w:hint="eastAsia"/>
          <w:b/>
        </w:rPr>
        <w:t xml:space="preserve"> </w:t>
      </w:r>
      <w:r>
        <w:t>Different measurement measuring mixed state estimation results</w:t>
      </w:r>
    </w:p>
    <w:tbl>
      <w:tblPr>
        <w:tblStyle w:val="8"/>
        <w:tblW w:w="4838" w:type="dxa"/>
        <w:jc w:val="center"/>
        <w:tblInd w:w="0" w:type="dxa"/>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
      <w:tblGrid>
        <w:gridCol w:w="1968"/>
        <w:gridCol w:w="574"/>
        <w:gridCol w:w="574"/>
        <w:gridCol w:w="574"/>
        <w:gridCol w:w="574"/>
        <w:gridCol w:w="574"/>
      </w:tblGrid>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Measurement time difference/s</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1</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0.9</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0.8</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0.7</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0.6</w:t>
            </w:r>
          </w:p>
        </w:tc>
      </w:tr>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CASE 1ρ/10-2</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8.98</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8.89</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8.61</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8.34</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7.99</w:t>
            </w:r>
          </w:p>
        </w:tc>
      </w:tr>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CASE 2ρ/10-2</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r>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Measurement time fference /s</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0.5</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0.4</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0.3</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0.2</w:t>
            </w:r>
          </w:p>
        </w:tc>
        <w:tc>
          <w:tcPr>
            <w:tcW w:w="574" w:type="dxa"/>
            <w:tcBorders>
              <w:top w:val="doub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0.1</w:t>
            </w:r>
          </w:p>
        </w:tc>
      </w:tr>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ASE 2ρ/10-2</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7.73</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7.52</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7.14</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6.73</w:t>
            </w:r>
          </w:p>
        </w:tc>
        <w:tc>
          <w:tcPr>
            <w:tcW w:w="574" w:type="dxa"/>
            <w:tcBorders>
              <w:top w:val="single" w:color="auto" w:sz="4" w:space="0"/>
              <w:bottom w:val="sing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6.25</w:t>
            </w:r>
          </w:p>
        </w:tc>
      </w:tr>
      <w:tr>
        <w:tblPrEx>
          <w:tblBorders>
            <w:top w:val="single" w:color="auto" w:sz="4" w:space="0"/>
            <w:left w:val="none" w:color="auto" w:sz="0" w:space="0"/>
            <w:bottom w:val="single" w:color="auto" w:sz="4" w:space="0"/>
            <w:right w:val="none" w:color="auto" w:sz="0" w:space="0"/>
            <w:insideH w:val="double" w:color="auto" w:sz="4" w:space="0"/>
            <w:insideV w:val="none" w:color="auto" w:sz="0" w:space="0"/>
          </w:tblBorders>
          <w:tblLayout w:type="fixed"/>
          <w:tblCellMar>
            <w:top w:w="0" w:type="dxa"/>
            <w:left w:w="0" w:type="dxa"/>
            <w:bottom w:w="0" w:type="dxa"/>
            <w:right w:w="0" w:type="dxa"/>
          </w:tblCellMar>
        </w:tblPrEx>
        <w:trPr>
          <w:trHeight w:val="381" w:hRule="exact"/>
          <w:jc w:val="center"/>
        </w:trPr>
        <w:tc>
          <w:tcPr>
            <w:tcW w:w="1968"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CASE 3ρ/10-2</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4.26</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4.27</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r>
              <w:rPr>
                <w:sz w:val="18"/>
                <w:szCs w:val="18"/>
              </w:rPr>
              <w:t>4.26</w:t>
            </w:r>
          </w:p>
        </w:tc>
        <w:tc>
          <w:tcPr>
            <w:tcW w:w="574" w:type="dxa"/>
            <w:tcBorders>
              <w:top w:val="single" w:color="auto" w:sz="4" w:space="0"/>
              <w:bottom w:val="double" w:color="auto" w:sz="4" w:space="0"/>
            </w:tcBorders>
            <w:tcMar>
              <w:top w:w="15" w:type="dxa"/>
              <w:left w:w="15" w:type="dxa"/>
              <w:bottom w:w="0" w:type="dxa"/>
              <w:right w:w="15" w:type="dxa"/>
            </w:tcMar>
            <w:vAlign w:val="bottom"/>
          </w:tcPr>
          <w:p>
            <w:pPr>
              <w:spacing w:line="240" w:lineRule="atLeast"/>
              <w:jc w:val="center"/>
              <w:rPr>
                <w:sz w:val="18"/>
                <w:szCs w:val="18"/>
              </w:rPr>
            </w:pPr>
            <w:bookmarkStart w:id="45" w:name="OLE_LINK27"/>
            <w:r>
              <w:rPr>
                <w:sz w:val="18"/>
                <w:szCs w:val="18"/>
              </w:rPr>
              <w:t>4.27</w:t>
            </w:r>
            <w:bookmarkEnd w:id="45"/>
          </w:p>
        </w:tc>
      </w:tr>
    </w:tbl>
    <w:p>
      <w:pPr>
        <w:spacing w:before="240" w:line="240" w:lineRule="atLeast"/>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pPr>
        <w:pStyle w:val="12"/>
        <w:numPr>
          <w:ilvl w:val="1"/>
          <w:numId w:val="7"/>
        </w:numPr>
        <w:spacing w:after="160" w:line="240" w:lineRule="atLeast"/>
        <w:ind w:left="584" w:hanging="584" w:hangingChars="270"/>
        <w:rPr>
          <w:rFonts w:ascii="Times New Roman" w:hAnsi="Times New Roman" w:cs="Times New Roman"/>
          <w:b/>
          <w:sz w:val="20"/>
          <w:szCs w:val="20"/>
        </w:rPr>
      </w:pPr>
      <w:r>
        <w:rPr>
          <w:rFonts w:ascii="Times New Roman" w:hAnsi="Times New Roman" w:cs="Times New Roman"/>
          <w:b/>
          <w:sz w:val="20"/>
          <w:szCs w:val="20"/>
        </w:rPr>
        <w:t>Comparison Among Cases</w:t>
      </w:r>
    </w:p>
    <w:p>
      <w:pPr>
        <w:spacing w:after="240" w:line="240" w:lineRule="atLeast"/>
        <w:rPr>
          <w:sz w:val="20"/>
          <w:szCs w:val="20"/>
        </w:rPr>
      </w:pPr>
      <w:r>
        <w:rPr>
          <w:sz w:val="20"/>
          <w:szCs w:val="20"/>
        </w:rPr>
        <w:t>Two types of hybrid measurement estimation algorithm are listed to compare with the algorithm in the paper:</w:t>
      </w:r>
    </w:p>
    <w:p>
      <w:pPr>
        <w:spacing w:line="240" w:lineRule="atLeast"/>
        <w:ind w:firstLine="227"/>
        <w:rPr>
          <w:sz w:val="20"/>
          <w:szCs w:val="20"/>
        </w:rPr>
      </w:pPr>
      <w:r>
        <w:rPr>
          <w:sz w:val="20"/>
          <w:szCs w:val="20"/>
        </w:rPr>
        <w:t>Case 1: Based on nonlinear state estimation.</w:t>
      </w:r>
    </w:p>
    <w:p>
      <w:pPr>
        <w:spacing w:line="240" w:lineRule="atLeast"/>
        <w:ind w:firstLine="227"/>
        <w:rPr>
          <w:sz w:val="20"/>
          <w:szCs w:val="20"/>
        </w:rPr>
      </w:pPr>
      <w:r>
        <w:rPr>
          <w:sz w:val="20"/>
          <w:szCs w:val="20"/>
        </w:rPr>
        <w:t>Case 2: Based on nonlinear and linear state estimation.</w:t>
      </w:r>
    </w:p>
    <w:p>
      <w:pPr>
        <w:spacing w:line="240" w:lineRule="atLeast"/>
        <w:ind w:firstLine="227"/>
        <w:rPr>
          <w:sz w:val="20"/>
          <w:szCs w:val="20"/>
        </w:rPr>
      </w:pPr>
      <w:r>
        <w:rPr>
          <w:sz w:val="20"/>
          <w:szCs w:val="20"/>
        </w:rPr>
        <w:t>Case 3: Based on time-series data correlation data fusion state estimation.</w:t>
      </w:r>
    </w:p>
    <w:p>
      <w:pPr>
        <w:spacing w:before="240" w:line="240" w:lineRule="atLeast"/>
        <w:rPr>
          <w:sz w:val="20"/>
          <w:szCs w:val="20"/>
        </w:rPr>
      </w:pPr>
      <w:r>
        <w:rPr>
          <w:sz w:val="20"/>
          <w:szCs w:val="20"/>
        </w:rPr>
        <w:t>The final results are described with estimated standard deviation in three cases.</w:t>
      </w:r>
    </w:p>
    <w:p>
      <w:pPr>
        <w:spacing w:line="240" w:lineRule="atLeast"/>
        <w:ind w:firstLine="227"/>
        <w:rPr>
          <w:sz w:val="20"/>
          <w:szCs w:val="20"/>
        </w:rPr>
      </w:pPr>
      <w:r>
        <w:rPr>
          <w:sz w:val="20"/>
          <w:szCs w:val="20"/>
        </w:rPr>
        <w:t>The results are showed as Fig. 3:</w:t>
      </w:r>
    </w:p>
    <w:p>
      <w:pPr>
        <w:spacing w:before="360" w:line="240" w:lineRule="atLeast"/>
        <w:ind w:firstLine="227"/>
      </w:pPr>
      <w:bookmarkStart w:id="46" w:name="_1315165409"/>
      <w:bookmarkEnd w:id="46"/>
      <w:bookmarkStart w:id="47" w:name="_1315163178"/>
      <w:bookmarkEnd w:id="47"/>
      <w:bookmarkStart w:id="48" w:name="_1315143121"/>
      <w:bookmarkEnd w:id="48"/>
      <w:bookmarkStart w:id="49" w:name="_1315138163"/>
      <w:bookmarkEnd w:id="49"/>
      <w:bookmarkStart w:id="50" w:name="_1315004445"/>
      <w:bookmarkEnd w:id="50"/>
      <w:bookmarkStart w:id="51" w:name="_1315001406"/>
      <w:bookmarkEnd w:id="51"/>
      <w:bookmarkStart w:id="52" w:name="_1315963056"/>
      <w:bookmarkEnd w:id="52"/>
      <w:bookmarkStart w:id="53" w:name="_1316386374"/>
      <w:bookmarkEnd w:id="53"/>
      <w:bookmarkStart w:id="54" w:name="_1315001361"/>
      <w:bookmarkEnd w:id="54"/>
      <w:bookmarkStart w:id="55" w:name="_1315001354"/>
      <w:bookmarkEnd w:id="55"/>
      <w:bookmarkStart w:id="56" w:name="_1317900648"/>
      <w:bookmarkEnd w:id="56"/>
      <w:bookmarkStart w:id="57" w:name="_1314971041"/>
      <w:bookmarkEnd w:id="57"/>
      <w:bookmarkStart w:id="58" w:name="_1317853716"/>
      <w:bookmarkEnd w:id="58"/>
      <w:bookmarkStart w:id="59" w:name="_1317904664"/>
      <w:bookmarkEnd w:id="59"/>
      <w:bookmarkStart w:id="60" w:name="_1314971036"/>
      <w:bookmarkEnd w:id="60"/>
      <w:bookmarkStart w:id="61" w:name="_1317903856"/>
      <w:bookmarkEnd w:id="61"/>
      <w:bookmarkStart w:id="62" w:name="_1314971013"/>
      <w:bookmarkEnd w:id="62"/>
      <w:bookmarkStart w:id="63" w:name="_1316392420"/>
      <w:bookmarkEnd w:id="63"/>
      <w:bookmarkStart w:id="64" w:name="_1314971008"/>
      <w:bookmarkEnd w:id="64"/>
      <w:bookmarkStart w:id="65" w:name="_MON_1508572016"/>
      <w:bookmarkEnd w:id="65"/>
      <w:bookmarkStart w:id="66" w:name="_1317916250"/>
      <w:bookmarkEnd w:id="66"/>
      <w:bookmarkStart w:id="67" w:name="_1314970991"/>
      <w:bookmarkEnd w:id="67"/>
      <w:bookmarkStart w:id="68" w:name="_1317903074"/>
      <w:bookmarkEnd w:id="68"/>
      <w:bookmarkStart w:id="69" w:name="_1315963050"/>
      <w:bookmarkEnd w:id="69"/>
      <w:bookmarkStart w:id="70" w:name="_1314970986"/>
      <w:bookmarkEnd w:id="70"/>
      <w:bookmarkStart w:id="71" w:name="_1314970956"/>
      <w:bookmarkEnd w:id="71"/>
      <w:bookmarkStart w:id="72" w:name="_1318105703"/>
      <w:bookmarkEnd w:id="72"/>
      <w:bookmarkStart w:id="73" w:name="_1317902314"/>
      <w:bookmarkEnd w:id="73"/>
      <w:bookmarkStart w:id="74" w:name="_1314970826"/>
      <w:bookmarkEnd w:id="74"/>
      <w:bookmarkStart w:id="75" w:name="_1318109723"/>
      <w:bookmarkEnd w:id="75"/>
      <w:bookmarkStart w:id="76" w:name="_1314970950"/>
      <w:bookmarkEnd w:id="76"/>
      <w:bookmarkStart w:id="77" w:name="_1315962312"/>
      <w:bookmarkEnd w:id="77"/>
      <w:bookmarkStart w:id="78" w:name="_1315962668"/>
      <w:bookmarkEnd w:id="78"/>
      <w:bookmarkStart w:id="79" w:name="_1315962778"/>
      <w:bookmarkEnd w:id="79"/>
      <w:bookmarkStart w:id="80" w:name="_1315963018"/>
      <w:bookmarkEnd w:id="80"/>
      <w:r>
        <w:rPr>
          <w:b/>
          <w:sz w:val="18"/>
          <w:szCs w:val="18"/>
        </w:rPr>
        <w:object>
          <v:shape id="_x0000_i1084" o:spt="75" type="#_x0000_t75" style="height:132.15pt;width:196.85pt;" o:ole="t" filled="f" o:preferrelative="t" stroked="f" coordsize="21600,21600">
            <v:path/>
            <v:fill on="f" focussize="0,0"/>
            <v:stroke on="f" joinstyle="miter"/>
            <v:imagedata r:id="rId121" croptop="1239f" o:title=""/>
            <o:lock v:ext="edit" aspectratio="t"/>
            <w10:wrap type="none"/>
            <w10:anchorlock/>
          </v:shape>
          <o:OLEObject Type="Embed" ProgID="Word.Picture.8" ShapeID="_x0000_i1084" DrawAspect="Content" ObjectID="_1468075784" r:id="rId120">
            <o:LockedField>false</o:LockedField>
          </o:OLEObject>
        </w:object>
      </w:r>
    </w:p>
    <w:p>
      <w:pPr>
        <w:pStyle w:val="22"/>
        <w:jc w:val="both"/>
        <w:rPr>
          <w:b/>
          <w:szCs w:val="18"/>
        </w:rPr>
      </w:pPr>
      <w:r>
        <w:rPr>
          <w:rFonts w:hint="eastAsia" w:eastAsia="黑体"/>
          <w:b/>
          <w:bCs/>
        </w:rPr>
        <w:t xml:space="preserve">Fig. </w:t>
      </w:r>
      <w:r>
        <w:rPr>
          <w:rFonts w:eastAsia="黑体"/>
          <w:b/>
          <w:bCs/>
        </w:rPr>
        <w:t>3</w:t>
      </w:r>
      <w:r>
        <w:rPr>
          <w:rFonts w:hint="eastAsia" w:eastAsia="黑体"/>
          <w:b/>
          <w:bCs/>
          <w:lang w:eastAsia="zh-CN"/>
        </w:rPr>
        <w:t>.</w:t>
      </w:r>
      <w:r>
        <w:rPr>
          <w:rFonts w:hint="eastAsia" w:eastAsia="黑体"/>
          <w:b/>
          <w:bCs/>
        </w:rPr>
        <w:t xml:space="preserve"> </w:t>
      </w:r>
      <w:r>
        <w:rPr>
          <w:rFonts w:eastAsia="黑体"/>
          <w:b/>
          <w:bCs/>
        </w:rPr>
        <w:t>More comparison algorithm simulation results</w:t>
      </w:r>
    </w:p>
    <w:p>
      <w:pPr>
        <w:spacing w:line="240" w:lineRule="atLeast"/>
        <w:rPr>
          <w:sz w:val="20"/>
          <w:szCs w:val="20"/>
        </w:rPr>
      </w:pPr>
      <w:r>
        <w:rPr>
          <w:sz w:val="20"/>
          <w:szCs w:val="20"/>
        </w:rPr>
        <w:t>From the results, although the stability of using single nonlinear state estimation is good, precision is lower than the other two cases. Using mixed state estimation has improved a lot, but its stability is not as good as Case 3.</w:t>
      </w:r>
    </w:p>
    <w:p>
      <w:pPr>
        <w:spacing w:line="240" w:lineRule="atLeast"/>
        <w:rPr>
          <w:sz w:val="20"/>
          <w:szCs w:val="20"/>
        </w:rPr>
      </w:pPr>
    </w:p>
    <w:p>
      <w:pPr>
        <w:spacing w:line="240" w:lineRule="atLeast"/>
        <w:rPr>
          <w:sz w:val="20"/>
          <w:szCs w:val="20"/>
        </w:rPr>
      </w:pPr>
    </w:p>
    <w:p>
      <w:pPr>
        <w:spacing w:line="240" w:lineRule="atLeast"/>
        <w:rPr>
          <w:sz w:val="20"/>
          <w:szCs w:val="20"/>
        </w:rPr>
      </w:pPr>
    </w:p>
    <w:p>
      <w:pPr>
        <w:pStyle w:val="23"/>
        <w:rPr>
          <w:b/>
        </w:rPr>
      </w:pPr>
      <w:r>
        <w:rPr>
          <w:rFonts w:hint="eastAsia"/>
          <w:b/>
        </w:rPr>
        <w:t>Tab</w:t>
      </w:r>
      <w:r>
        <w:rPr>
          <w:b/>
        </w:rPr>
        <w:t>le 2</w:t>
      </w:r>
      <w:r>
        <w:rPr>
          <w:rFonts w:hint="eastAsia" w:eastAsiaTheme="minorEastAsia"/>
          <w:b/>
          <w:lang w:eastAsia="zh-CN"/>
        </w:rPr>
        <w:t>.</w:t>
      </w:r>
      <w:r>
        <w:rPr>
          <w:rFonts w:hint="eastAsia"/>
          <w:b/>
        </w:rPr>
        <w:t xml:space="preserve"> </w:t>
      </w:r>
      <w:r>
        <w:rPr>
          <w:b/>
        </w:rPr>
        <w:t>Three kinds of simulation examples estimated standard deviation</w:t>
      </w:r>
    </w:p>
    <w:tbl>
      <w:tblPr>
        <w:tblStyle w:val="8"/>
        <w:tblW w:w="3616"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3"/>
        <w:gridCol w:w="971"/>
        <w:gridCol w:w="971"/>
        <w:gridCol w:w="9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jc w:val="center"/>
        </w:trPr>
        <w:tc>
          <w:tcPr>
            <w:tcW w:w="703" w:type="dxa"/>
            <w:vMerge w:val="restart"/>
            <w:tcBorders>
              <w:top w:val="double" w:color="auto" w:sz="4" w:space="0"/>
              <w:bottom w:val="nil"/>
            </w:tcBorders>
            <w:tcMar>
              <w:top w:w="15" w:type="dxa"/>
              <w:left w:w="15" w:type="dxa"/>
              <w:bottom w:w="0" w:type="dxa"/>
              <w:right w:w="15" w:type="dxa"/>
            </w:tcMar>
            <w:vAlign w:val="center"/>
          </w:tcPr>
          <w:p>
            <w:pPr>
              <w:spacing w:line="240" w:lineRule="atLeast"/>
              <w:jc w:val="center"/>
              <w:rPr>
                <w:sz w:val="18"/>
                <w:szCs w:val="18"/>
              </w:rPr>
            </w:pPr>
            <w:r>
              <w:rPr>
                <w:sz w:val="18"/>
                <w:szCs w:val="18"/>
              </w:rPr>
              <w:t>BUS</w:t>
            </w:r>
          </w:p>
        </w:tc>
        <w:tc>
          <w:tcPr>
            <w:tcW w:w="971" w:type="dxa"/>
            <w:tcBorders>
              <w:top w:val="double" w:color="auto" w:sz="4" w:space="0"/>
              <w:bottom w:val="single" w:color="auto" w:sz="4" w:space="0"/>
              <w:right w:val="single" w:color="FFFFFF" w:sz="24" w:space="0"/>
            </w:tcBorders>
            <w:tcMar>
              <w:top w:w="15" w:type="dxa"/>
              <w:left w:w="15" w:type="dxa"/>
              <w:bottom w:w="0" w:type="dxa"/>
              <w:right w:w="15" w:type="dxa"/>
            </w:tcMar>
            <w:vAlign w:val="center"/>
          </w:tcPr>
          <w:p>
            <w:pPr>
              <w:spacing w:line="240" w:lineRule="atLeast"/>
              <w:jc w:val="center"/>
              <w:rPr>
                <w:sz w:val="18"/>
                <w:szCs w:val="18"/>
              </w:rPr>
            </w:pPr>
            <w:r>
              <w:rPr>
                <w:sz w:val="18"/>
                <w:szCs w:val="18"/>
              </w:rPr>
              <w:t>CASE 1</w:t>
            </w:r>
          </w:p>
        </w:tc>
        <w:tc>
          <w:tcPr>
            <w:tcW w:w="971" w:type="dxa"/>
            <w:tcBorders>
              <w:top w:val="double" w:color="auto" w:sz="4" w:space="0"/>
              <w:left w:val="single" w:color="FFFFFF" w:sz="24" w:space="0"/>
              <w:bottom w:val="single" w:color="auto" w:sz="4" w:space="0"/>
              <w:right w:val="single" w:color="FFFFFF" w:sz="24" w:space="0"/>
            </w:tcBorders>
            <w:tcMar>
              <w:top w:w="15" w:type="dxa"/>
              <w:left w:w="15" w:type="dxa"/>
              <w:bottom w:w="0" w:type="dxa"/>
              <w:right w:w="15" w:type="dxa"/>
            </w:tcMar>
            <w:vAlign w:val="center"/>
          </w:tcPr>
          <w:p>
            <w:pPr>
              <w:spacing w:line="240" w:lineRule="atLeast"/>
              <w:jc w:val="center"/>
              <w:rPr>
                <w:sz w:val="18"/>
                <w:szCs w:val="18"/>
              </w:rPr>
            </w:pPr>
            <w:r>
              <w:rPr>
                <w:sz w:val="18"/>
                <w:szCs w:val="18"/>
              </w:rPr>
              <w:t>CASE 2</w:t>
            </w:r>
          </w:p>
        </w:tc>
        <w:tc>
          <w:tcPr>
            <w:tcW w:w="971" w:type="dxa"/>
            <w:tcBorders>
              <w:top w:val="double" w:color="auto" w:sz="4" w:space="0"/>
              <w:left w:val="single" w:color="FFFFFF" w:sz="24" w:space="0"/>
              <w:bottom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CASE 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jc w:val="center"/>
        </w:trPr>
        <w:tc>
          <w:tcPr>
            <w:tcW w:w="703" w:type="dxa"/>
            <w:vMerge w:val="continue"/>
            <w:tcBorders>
              <w:top w:val="nil"/>
              <w:bottom w:val="single" w:color="auto" w:sz="4" w:space="0"/>
            </w:tcBorders>
            <w:tcMar>
              <w:top w:w="15" w:type="dxa"/>
              <w:left w:w="15" w:type="dxa"/>
              <w:bottom w:w="0" w:type="dxa"/>
              <w:right w:w="15" w:type="dxa"/>
            </w:tcMar>
            <w:vAlign w:val="center"/>
          </w:tcPr>
          <w:p>
            <w:pPr>
              <w:spacing w:line="240" w:lineRule="atLeast"/>
              <w:jc w:val="center"/>
              <w:rPr>
                <w:sz w:val="18"/>
                <w:szCs w:val="18"/>
              </w:rPr>
            </w:pPr>
          </w:p>
        </w:tc>
        <w:tc>
          <w:tcPr>
            <w:tcW w:w="971" w:type="dxa"/>
            <w:tcBorders>
              <w:top w:val="single" w:color="auto" w:sz="4" w:space="0"/>
              <w:bottom w:val="single" w:color="auto" w:sz="4" w:space="0"/>
              <w:right w:val="single" w:color="FFFFFF" w:sz="24" w:space="0"/>
            </w:tcBorders>
            <w:tcMar>
              <w:top w:w="15" w:type="dxa"/>
              <w:left w:w="15" w:type="dxa"/>
              <w:bottom w:w="0" w:type="dxa"/>
              <w:right w:w="15" w:type="dxa"/>
            </w:tcMar>
            <w:vAlign w:val="center"/>
          </w:tcPr>
          <w:p>
            <w:pPr>
              <w:spacing w:line="240" w:lineRule="atLeast"/>
              <w:jc w:val="center"/>
              <w:rPr>
                <w:sz w:val="18"/>
                <w:szCs w:val="18"/>
              </w:rPr>
            </w:pPr>
            <w:r>
              <w:rPr>
                <w:sz w:val="18"/>
                <w:szCs w:val="18"/>
              </w:rPr>
              <w:t>Standard estimate difference /10-3</w:t>
            </w:r>
          </w:p>
        </w:tc>
        <w:tc>
          <w:tcPr>
            <w:tcW w:w="971" w:type="dxa"/>
            <w:tcBorders>
              <w:top w:val="single" w:color="auto" w:sz="4" w:space="0"/>
              <w:left w:val="single" w:color="FFFFFF" w:sz="24" w:space="0"/>
              <w:bottom w:val="single" w:color="auto" w:sz="4" w:space="0"/>
              <w:right w:val="single" w:color="FFFFFF" w:sz="24" w:space="0"/>
            </w:tcBorders>
            <w:tcMar>
              <w:top w:w="15" w:type="dxa"/>
              <w:left w:w="15" w:type="dxa"/>
              <w:bottom w:w="0" w:type="dxa"/>
              <w:right w:w="15" w:type="dxa"/>
            </w:tcMar>
            <w:vAlign w:val="center"/>
          </w:tcPr>
          <w:p>
            <w:pPr>
              <w:spacing w:line="240" w:lineRule="atLeast"/>
              <w:jc w:val="center"/>
              <w:rPr>
                <w:sz w:val="18"/>
                <w:szCs w:val="18"/>
              </w:rPr>
            </w:pPr>
            <w:r>
              <w:rPr>
                <w:sz w:val="18"/>
                <w:szCs w:val="18"/>
              </w:rPr>
              <w:t>Standard estimate difference /10-3</w:t>
            </w:r>
          </w:p>
        </w:tc>
        <w:tc>
          <w:tcPr>
            <w:tcW w:w="971" w:type="dxa"/>
            <w:tcBorders>
              <w:top w:val="single" w:color="auto" w:sz="4" w:space="0"/>
              <w:left w:val="single" w:color="FFFFFF" w:sz="24" w:space="0"/>
              <w:bottom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Standard estimate difference /10-3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Borders>
              <w:top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1</w:t>
            </w:r>
          </w:p>
        </w:tc>
        <w:tc>
          <w:tcPr>
            <w:tcW w:w="971" w:type="dxa"/>
            <w:tcBorders>
              <w:top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0.8020</w:t>
            </w:r>
          </w:p>
        </w:tc>
        <w:tc>
          <w:tcPr>
            <w:tcW w:w="971" w:type="dxa"/>
            <w:tcBorders>
              <w:top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0.5545</w:t>
            </w:r>
          </w:p>
        </w:tc>
        <w:tc>
          <w:tcPr>
            <w:tcW w:w="971" w:type="dxa"/>
            <w:tcBorders>
              <w:top w:val="sing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0.5512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2</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1.0026</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0.6975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0.6975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3</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0.9163</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0.6308</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0.6324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4</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0.9441</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0.6200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0.6205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0.8511</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0.5644</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0.5645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6</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0.8806</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0.6300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0.6267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7</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0.9507</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0.6835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0.6801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8</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1.0514</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0.6665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9</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0.8672</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0.6520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0.6555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10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0.9535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0.6490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0.6501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11</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0.9144</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0.5795</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0.5880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12</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0.8738</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0.5961</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0.5961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Mar>
              <w:top w:w="15" w:type="dxa"/>
              <w:left w:w="15" w:type="dxa"/>
              <w:bottom w:w="0" w:type="dxa"/>
              <w:right w:w="15" w:type="dxa"/>
            </w:tcMar>
            <w:vAlign w:val="center"/>
          </w:tcPr>
          <w:p>
            <w:pPr>
              <w:spacing w:line="240" w:lineRule="atLeast"/>
              <w:jc w:val="center"/>
              <w:rPr>
                <w:sz w:val="18"/>
                <w:szCs w:val="18"/>
              </w:rPr>
            </w:pPr>
            <w:r>
              <w:rPr>
                <w:sz w:val="18"/>
                <w:szCs w:val="18"/>
              </w:rPr>
              <w:t>13</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0.8441</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0.5660</w:t>
            </w:r>
          </w:p>
        </w:tc>
        <w:tc>
          <w:tcPr>
            <w:tcW w:w="971" w:type="dxa"/>
            <w:tcMar>
              <w:top w:w="15" w:type="dxa"/>
              <w:left w:w="15" w:type="dxa"/>
              <w:bottom w:w="0" w:type="dxa"/>
              <w:right w:w="15" w:type="dxa"/>
            </w:tcMar>
            <w:vAlign w:val="center"/>
          </w:tcPr>
          <w:p>
            <w:pPr>
              <w:spacing w:line="240" w:lineRule="atLeast"/>
              <w:jc w:val="center"/>
              <w:rPr>
                <w:sz w:val="18"/>
                <w:szCs w:val="18"/>
              </w:rPr>
            </w:pPr>
            <w:r>
              <w:rPr>
                <w:sz w:val="18"/>
                <w:szCs w:val="18"/>
              </w:rPr>
              <w:t>0.5643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exact"/>
          <w:jc w:val="center"/>
        </w:trPr>
        <w:tc>
          <w:tcPr>
            <w:tcW w:w="703" w:type="dxa"/>
            <w:tcBorders>
              <w:bottom w:val="doub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14</w:t>
            </w:r>
          </w:p>
        </w:tc>
        <w:tc>
          <w:tcPr>
            <w:tcW w:w="971" w:type="dxa"/>
            <w:tcBorders>
              <w:bottom w:val="doub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0.8863</w:t>
            </w:r>
          </w:p>
        </w:tc>
        <w:tc>
          <w:tcPr>
            <w:tcW w:w="971" w:type="dxa"/>
            <w:tcBorders>
              <w:bottom w:val="doub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0.5205</w:t>
            </w:r>
          </w:p>
        </w:tc>
        <w:tc>
          <w:tcPr>
            <w:tcW w:w="971" w:type="dxa"/>
            <w:tcBorders>
              <w:bottom w:val="double" w:color="auto" w:sz="4" w:space="0"/>
            </w:tcBorders>
            <w:tcMar>
              <w:top w:w="15" w:type="dxa"/>
              <w:left w:w="15" w:type="dxa"/>
              <w:bottom w:w="0" w:type="dxa"/>
              <w:right w:w="15" w:type="dxa"/>
            </w:tcMar>
            <w:vAlign w:val="center"/>
          </w:tcPr>
          <w:p>
            <w:pPr>
              <w:spacing w:line="240" w:lineRule="atLeast"/>
              <w:jc w:val="center"/>
              <w:rPr>
                <w:sz w:val="18"/>
                <w:szCs w:val="18"/>
              </w:rPr>
            </w:pPr>
            <w:r>
              <w:rPr>
                <w:sz w:val="18"/>
                <w:szCs w:val="18"/>
              </w:rPr>
              <w:t>0.5201</w:t>
            </w:r>
          </w:p>
        </w:tc>
      </w:tr>
    </w:tbl>
    <w:p>
      <w:pPr>
        <w:spacing w:before="240" w:line="240" w:lineRule="atLeast"/>
        <w:rPr>
          <w:sz w:val="20"/>
          <w:szCs w:val="20"/>
        </w:rPr>
      </w:pPr>
      <w:r>
        <w:rPr>
          <w:sz w:val="20"/>
          <w:szCs w:val="20"/>
        </w:rPr>
        <w:t>From last table, data fusion based on time-series data correlation mining has better effective estimation than other traditional algorithm in stability or disturbance period.</w:t>
      </w:r>
    </w:p>
    <w:p>
      <w:pPr>
        <w:pStyle w:val="20"/>
        <w:numPr>
          <w:ilvl w:val="0"/>
          <w:numId w:val="2"/>
        </w:numPr>
        <w:ind w:left="504" w:hanging="504" w:hangingChars="270"/>
      </w:pPr>
      <w:r>
        <w:t xml:space="preserve">Summary And </w:t>
      </w:r>
      <w:r>
        <w:rPr>
          <w:rFonts w:hint="eastAsia"/>
        </w:rPr>
        <w:t>Conclusion</w:t>
      </w:r>
    </w:p>
    <w:p>
      <w:pPr>
        <w:spacing w:after="240" w:line="240" w:lineRule="atLeast"/>
        <w:rPr>
          <w:sz w:val="20"/>
          <w:szCs w:val="20"/>
        </w:rPr>
      </w:pPr>
      <w:r>
        <w:rPr>
          <w:sz w:val="20"/>
          <w:szCs w:val="20"/>
        </w:rPr>
        <w:t>Hybrid measurement data state estimation improves the state estimation which only use SCADA data with WAMS data. However, there is not an effective scheme to solve the problem of state estimation based on WAMS/SACDA data. The scheme of time-series data correlation fusion is proposed in this paper:</w:t>
      </w:r>
    </w:p>
    <w:p>
      <w:pPr>
        <w:pStyle w:val="12"/>
        <w:numPr>
          <w:ilvl w:val="0"/>
          <w:numId w:val="8"/>
        </w:numPr>
        <w:tabs>
          <w:tab w:val="left" w:pos="709"/>
        </w:tabs>
        <w:spacing w:line="240" w:lineRule="atLeast"/>
        <w:ind w:left="687" w:leftChars="108" w:hanging="460" w:hangingChars="23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pPr>
        <w:pStyle w:val="12"/>
        <w:numPr>
          <w:ilvl w:val="0"/>
          <w:numId w:val="8"/>
        </w:numPr>
        <w:tabs>
          <w:tab w:val="left" w:pos="709"/>
        </w:tabs>
        <w:spacing w:line="240" w:lineRule="atLeast"/>
        <w:ind w:left="709" w:leftChars="108" w:hanging="482" w:firstLineChars="0"/>
        <w:rPr>
          <w:rFonts w:ascii="Times New Roman" w:hAnsi="Times New Roman" w:cs="Times New Roman"/>
          <w:sz w:val="20"/>
          <w:szCs w:val="20"/>
        </w:rPr>
      </w:pPr>
      <w:r>
        <w:rPr>
          <w:rFonts w:ascii="Times New Roman" w:hAnsi="Times New Roman" w:cs="Times New Roman"/>
          <w:sz w:val="20"/>
          <w:szCs w:val="20"/>
        </w:rPr>
        <w:t>In the case of time difference of time-series curves, optimizing data fusion by building and solving model function.</w:t>
      </w:r>
    </w:p>
    <w:p>
      <w:pPr>
        <w:pStyle w:val="12"/>
        <w:numPr>
          <w:ilvl w:val="0"/>
          <w:numId w:val="8"/>
        </w:numPr>
        <w:tabs>
          <w:tab w:val="left" w:pos="709"/>
        </w:tabs>
        <w:spacing w:line="240" w:lineRule="atLeast"/>
        <w:ind w:left="709" w:leftChars="108" w:hanging="482" w:firstLineChars="0"/>
        <w:rPr>
          <w:rFonts w:ascii="Times New Roman" w:hAnsi="Times New Roman" w:cs="Times New Roman"/>
          <w:sz w:val="20"/>
          <w:szCs w:val="20"/>
        </w:rPr>
      </w:pPr>
      <w:r>
        <w:rPr>
          <w:rFonts w:ascii="Times New Roman" w:hAnsi="Times New Roman" w:cs="Times New Roman"/>
          <w:sz w:val="20"/>
          <w:szCs w:val="20"/>
        </w:rPr>
        <w:t>Calculating the matrix of time-series data weight to complete an effective scheme based on time-series correlation by analyzing measurement data.</w:t>
      </w:r>
    </w:p>
    <w:p>
      <w:pPr>
        <w:pStyle w:val="12"/>
        <w:numPr>
          <w:ilvl w:val="0"/>
          <w:numId w:val="8"/>
        </w:numPr>
        <w:tabs>
          <w:tab w:val="left" w:pos="709"/>
        </w:tabs>
        <w:spacing w:line="240" w:lineRule="atLeast"/>
        <w:ind w:left="709" w:leftChars="108" w:hanging="482" w:firstLineChars="0"/>
        <w:rPr>
          <w:rFonts w:ascii="Times New Roman" w:hAnsi="Times New Roman" w:cs="Times New Roman"/>
          <w:sz w:val="20"/>
          <w:szCs w:val="20"/>
        </w:rPr>
      </w:pPr>
      <w:r>
        <w:rPr>
          <w:rFonts w:ascii="Times New Roman" w:hAnsi="Times New Roman" w:cs="Times New Roman"/>
          <w:sz w:val="20"/>
          <w:szCs w:val="20"/>
        </w:rPr>
        <w:t>The results are verified by IEEE 118 nodes system. The stability has improved a lot than other schemes.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jc w:val="left"/>
        <w:rPr>
          <w:rFonts w:hint="default" w:ascii="Times-Roman" w:hAnsi="Times-Roman" w:eastAsia="Times-Roman"/>
          <w:color w:val="141413"/>
          <w:sz w:val="20"/>
        </w:rPr>
      </w:pPr>
    </w:p>
    <w:p>
      <w:pPr>
        <w:pStyle w:val="12"/>
        <w:numPr>
          <w:numId w:val="0"/>
        </w:numPr>
        <w:tabs>
          <w:tab w:val="left" w:pos="709"/>
        </w:tabs>
        <w:spacing w:line="240" w:lineRule="atLeast"/>
        <w:ind w:leftChars="108"/>
        <w:rPr>
          <w:rFonts w:hint="default" w:ascii="Times New Roman" w:hAnsi="Times New Roman" w:eastAsia="Times New Roman" w:cs="Times New Roman"/>
          <w:b/>
          <w:kern w:val="0"/>
          <w:sz w:val="24"/>
          <w:szCs w:val="20"/>
          <w:lang w:val="en-US" w:eastAsia="en-US" w:bidi="ar-SA"/>
        </w:rPr>
      </w:pPr>
      <w:r>
        <w:rPr>
          <w:rFonts w:hint="default" w:ascii="Times New Roman" w:hAnsi="Times New Roman" w:eastAsia="Times New Roman" w:cs="Times New Roman"/>
          <w:b/>
          <w:kern w:val="0"/>
          <w:sz w:val="24"/>
          <w:szCs w:val="20"/>
          <w:lang w:val="en-US" w:eastAsia="en-US" w:bidi="ar-SA"/>
        </w:rPr>
        <w:t>Acknowledgment</w:t>
      </w:r>
    </w:p>
    <w:p>
      <w:pPr>
        <w:spacing w:after="240" w:line="240" w:lineRule="atLeast"/>
        <w:rPr>
          <w:sz w:val="20"/>
          <w:szCs w:val="20"/>
        </w:rPr>
      </w:pPr>
      <w:r>
        <w:rPr>
          <w:rFonts w:hint="default"/>
          <w:sz w:val="20"/>
          <w:szCs w:val="20"/>
          <w:lang w:val="en-US" w:eastAsia="en-US"/>
        </w:rPr>
        <w:t xml:space="preserve"> </w:t>
      </w:r>
      <w:r>
        <w:rPr>
          <w:rFonts w:hint="default"/>
          <w:sz w:val="20"/>
          <w:szCs w:val="20"/>
        </w:rPr>
        <w:t>This project is supported by Key Projects of China Southern Power Gird (GZ2014-2-0049)</w:t>
      </w:r>
    </w:p>
    <w:p>
      <w:pPr>
        <w:pStyle w:val="20"/>
        <w:ind w:left="567" w:hanging="567"/>
      </w:pPr>
      <w:r>
        <w:rPr>
          <w:rFonts w:hint="eastAsia"/>
        </w:rPr>
        <w:t>References</w:t>
      </w:r>
    </w:p>
    <w:p>
      <w:pPr>
        <w:pStyle w:val="24"/>
        <w:numPr>
          <w:ilvl w:val="0"/>
          <w:numId w:val="9"/>
        </w:numPr>
        <w:rPr>
          <w:rFonts w:eastAsia="宋体"/>
          <w:szCs w:val="18"/>
        </w:rPr>
      </w:pPr>
      <w:r>
        <w:rPr>
          <w:rFonts w:hint="eastAsia" w:eastAsia="宋体"/>
          <w:szCs w:val="18"/>
        </w:rPr>
        <w:t>Phadke A G, Synchronized phasor measurements in power systems [J]. IEEE Computer Applications in Power, 1993, 6(2): 10-15.</w:t>
      </w:r>
    </w:p>
    <w:p>
      <w:pPr>
        <w:pStyle w:val="24"/>
        <w:numPr>
          <w:ilvl w:val="0"/>
          <w:numId w:val="9"/>
        </w:numPr>
        <w:rPr>
          <w:rFonts w:eastAsia="宋体"/>
          <w:szCs w:val="18"/>
        </w:rPr>
      </w:pPr>
      <w:r>
        <w:rPr>
          <w:rFonts w:hint="eastAsia" w:eastAsia="宋体"/>
          <w:szCs w:val="18"/>
        </w:rPr>
        <w:t>Phadke A G, Pickett B, Adamiak M，et al．Synchronized sampling and phasor measurements for relay and control[J]. IEEE Trans. on Power Delivery, 1994, 9(1)：442-452.</w:t>
      </w:r>
    </w:p>
    <w:p>
      <w:pPr>
        <w:pStyle w:val="24"/>
        <w:numPr>
          <w:ilvl w:val="0"/>
          <w:numId w:val="9"/>
        </w:numPr>
        <w:rPr>
          <w:rFonts w:eastAsia="宋体"/>
          <w:szCs w:val="18"/>
        </w:rPr>
      </w:pPr>
      <w:r>
        <w:rPr>
          <w:rFonts w:hint="eastAsia" w:eastAsia="宋体"/>
          <w:szCs w:val="18"/>
        </w:rPr>
        <w:t xml:space="preserve">Yu Qinjie, Wang Xiaoru, You Jiaxun, et al, Equality constraints </w:t>
      </w:r>
      <w:r>
        <w:rPr>
          <w:rFonts w:eastAsia="宋体"/>
          <w:szCs w:val="18"/>
        </w:rPr>
        <w:t xml:space="preserve">two-step state estimation model based on phasor measurements </w:t>
      </w:r>
      <w:r>
        <w:rPr>
          <w:rFonts w:hint="eastAsia" w:eastAsia="宋体"/>
          <w:szCs w:val="18"/>
        </w:rPr>
        <w:t>[J]. Power System Technology, 2007, 31(10): 84-88(in Chinese).</w:t>
      </w:r>
    </w:p>
    <w:p>
      <w:pPr>
        <w:pStyle w:val="24"/>
        <w:numPr>
          <w:ilvl w:val="0"/>
          <w:numId w:val="9"/>
        </w:numPr>
        <w:rPr>
          <w:rFonts w:eastAsia="宋体"/>
          <w:szCs w:val="18"/>
        </w:rPr>
      </w:pPr>
      <w:r>
        <w:rPr>
          <w:rFonts w:hint="eastAsia" w:eastAsia="宋体"/>
          <w:szCs w:val="18"/>
        </w:rPr>
        <w:t>Qin Xiaohui, Bi Tianshu, Yang Qixun, A new method for hybrid nonlinear state estimation with PMU[J]. Automation of Power Systems, 2007, 31(4): 28-32(in Chinese).</w:t>
      </w:r>
    </w:p>
    <w:p>
      <w:pPr>
        <w:pStyle w:val="24"/>
        <w:numPr>
          <w:ilvl w:val="0"/>
          <w:numId w:val="9"/>
        </w:numPr>
        <w:rPr>
          <w:rFonts w:eastAsia="宋体"/>
          <w:szCs w:val="18"/>
        </w:rPr>
      </w:pPr>
      <w:r>
        <w:rPr>
          <w:rFonts w:eastAsia="宋体"/>
          <w:szCs w:val="18"/>
        </w:rPr>
        <w:t>LIU Jinfeng</w:t>
      </w:r>
      <w:r>
        <w:rPr>
          <w:rFonts w:hint="eastAsia" w:eastAsia="宋体"/>
          <w:szCs w:val="18"/>
        </w:rPr>
        <w:t xml:space="preserve">, WANG </w:t>
      </w:r>
      <w:r>
        <w:rPr>
          <w:rFonts w:eastAsia="宋体"/>
          <w:szCs w:val="18"/>
        </w:rPr>
        <w:t>Shuyang</w:t>
      </w:r>
      <w:r>
        <w:rPr>
          <w:rFonts w:hint="eastAsia" w:eastAsia="宋体"/>
          <w:szCs w:val="18"/>
        </w:rPr>
        <w:t xml:space="preserve"> S</w:t>
      </w:r>
      <w:r>
        <w:rPr>
          <w:rFonts w:eastAsia="宋体"/>
          <w:szCs w:val="18"/>
        </w:rPr>
        <w:t>urvey on applications of wide area</w:t>
      </w:r>
      <w:r>
        <w:rPr>
          <w:rFonts w:hint="eastAsia" w:eastAsia="宋体"/>
          <w:szCs w:val="18"/>
        </w:rPr>
        <w:t xml:space="preserve"> measurement system in power system </w:t>
      </w:r>
      <w:r>
        <w:rPr>
          <w:rFonts w:eastAsia="宋体"/>
          <w:szCs w:val="18"/>
        </w:rPr>
        <w:t xml:space="preserve">analysis </w:t>
      </w:r>
      <w:r>
        <w:rPr>
          <w:rFonts w:hint="eastAsia" w:eastAsia="宋体"/>
          <w:szCs w:val="18"/>
        </w:rPr>
        <w:t>[</w:t>
      </w:r>
      <w:r>
        <w:rPr>
          <w:rFonts w:eastAsia="宋体"/>
          <w:szCs w:val="18"/>
        </w:rPr>
        <w:t>J]</w:t>
      </w:r>
      <w:r>
        <w:rPr>
          <w:rFonts w:hint="eastAsia" w:eastAsia="宋体"/>
          <w:szCs w:val="18"/>
        </w:rPr>
        <w:t xml:space="preserve"> H</w:t>
      </w:r>
      <w:r>
        <w:rPr>
          <w:rFonts w:eastAsia="宋体"/>
          <w:szCs w:val="18"/>
        </w:rPr>
        <w:t>igh Voltage Engineering</w:t>
      </w:r>
      <w:r>
        <w:rPr>
          <w:rFonts w:hint="eastAsia" w:eastAsia="宋体"/>
          <w:szCs w:val="18"/>
        </w:rPr>
        <w:t>, 2007, 33（7</w:t>
      </w:r>
      <w:r>
        <w:rPr>
          <w:rFonts w:eastAsia="宋体"/>
          <w:szCs w:val="18"/>
        </w:rPr>
        <w:t>）</w:t>
      </w:r>
      <w:r>
        <w:rPr>
          <w:rFonts w:hint="eastAsia" w:eastAsia="宋体"/>
          <w:szCs w:val="18"/>
        </w:rPr>
        <w:t>; 182</w:t>
      </w:r>
      <w:r>
        <w:rPr>
          <w:rFonts w:eastAsia="宋体"/>
          <w:szCs w:val="18"/>
        </w:rPr>
        <w:t>-185.</w:t>
      </w:r>
    </w:p>
    <w:p>
      <w:pPr>
        <w:pStyle w:val="24"/>
        <w:numPr>
          <w:ilvl w:val="0"/>
          <w:numId w:val="9"/>
        </w:numPr>
        <w:rPr>
          <w:rFonts w:eastAsia="宋体"/>
          <w:szCs w:val="18"/>
        </w:rPr>
      </w:pPr>
      <w:r>
        <w:rPr>
          <w:rFonts w:eastAsia="宋体"/>
          <w:szCs w:val="18"/>
        </w:rPr>
        <w:t>DUAN Jundong</w:t>
      </w:r>
      <w:r>
        <w:rPr>
          <w:rFonts w:hint="eastAsia" w:eastAsia="宋体"/>
          <w:szCs w:val="18"/>
        </w:rPr>
        <w:t xml:space="preserve">, SUN Yankai, YIN Xiugang </w:t>
      </w:r>
      <w:r>
        <w:rPr>
          <w:rFonts w:eastAsia="宋体"/>
          <w:szCs w:val="18"/>
        </w:rPr>
        <w:t>Voltage stability’ online prediction using WAMS[J]. High Voltage Engineering</w:t>
      </w:r>
      <w:r>
        <w:rPr>
          <w:rFonts w:hint="eastAsia" w:eastAsia="宋体"/>
          <w:szCs w:val="18"/>
        </w:rPr>
        <w:t>, 2009, 35（7</w:t>
      </w:r>
      <w:r>
        <w:rPr>
          <w:rFonts w:eastAsia="宋体"/>
          <w:szCs w:val="18"/>
        </w:rPr>
        <w:t>）</w:t>
      </w:r>
      <w:r>
        <w:rPr>
          <w:rFonts w:hint="eastAsia" w:eastAsia="宋体"/>
          <w:szCs w:val="18"/>
        </w:rPr>
        <w:t>: 1748</w:t>
      </w:r>
      <w:r>
        <w:rPr>
          <w:rFonts w:eastAsia="宋体"/>
          <w:szCs w:val="18"/>
        </w:rPr>
        <w:t>-1752.</w:t>
      </w:r>
    </w:p>
    <w:p>
      <w:pPr>
        <w:pStyle w:val="24"/>
        <w:numPr>
          <w:ilvl w:val="0"/>
          <w:numId w:val="9"/>
        </w:numPr>
        <w:rPr>
          <w:rFonts w:eastAsia="宋体"/>
          <w:szCs w:val="18"/>
        </w:rPr>
      </w:pPr>
      <w:r>
        <w:rPr>
          <w:rFonts w:hint="eastAsia" w:eastAsia="宋体"/>
          <w:szCs w:val="18"/>
        </w:rPr>
        <w:t>Ding Junce, Cai Zexiang, Wang Keying, Mixed measurements stateestimation based on WAMS[J]. Proceedings of the CSEE, 2006, 26(2): 58-63(in Chinese)</w:t>
      </w:r>
    </w:p>
    <w:p>
      <w:pPr>
        <w:pStyle w:val="24"/>
        <w:numPr>
          <w:ilvl w:val="0"/>
          <w:numId w:val="9"/>
        </w:numPr>
        <w:rPr>
          <w:rFonts w:eastAsia="宋体"/>
          <w:szCs w:val="18"/>
        </w:rPr>
      </w:pPr>
      <w:r>
        <w:rPr>
          <w:rFonts w:eastAsia="宋体"/>
          <w:szCs w:val="18"/>
        </w:rPr>
        <w:t>Adelfio G, Chiodi M, D’Alessandro A, Luzio D, D’Anna G, Mangano G. Simultaneous seismic wave clustering and registration. Computers &amp; Geosciences, 2012,</w:t>
      </w:r>
      <w:r>
        <w:rPr>
          <w:rFonts w:hint="eastAsia" w:eastAsia="宋体"/>
          <w:szCs w:val="18"/>
        </w:rPr>
        <w:t xml:space="preserve"> </w:t>
      </w:r>
      <w:r>
        <w:rPr>
          <w:rFonts w:eastAsia="宋体"/>
          <w:szCs w:val="18"/>
        </w:rPr>
        <w:t>44:60-69</w:t>
      </w:r>
      <w:r>
        <w:rPr>
          <w:rFonts w:hint="eastAsia" w:eastAsia="宋体"/>
          <w:szCs w:val="18"/>
        </w:rPr>
        <w:t>.</w:t>
      </w:r>
    </w:p>
    <w:p>
      <w:pPr>
        <w:pStyle w:val="24"/>
        <w:numPr>
          <w:ilvl w:val="0"/>
          <w:numId w:val="9"/>
        </w:numPr>
        <w:rPr>
          <w:rFonts w:eastAsia="宋体"/>
          <w:szCs w:val="18"/>
        </w:rPr>
      </w:pPr>
      <w:r>
        <w:rPr>
          <w:rFonts w:eastAsia="宋体"/>
          <w:szCs w:val="18"/>
        </w:rPr>
        <w:t>Ye L, Keogh E. Time series shapelets: A new primitive for data mining. In: Proc. of the 15th ACM SIGKDD Int’l Conf. on Knowledge Discovery and Data Mining. New York: ACM Press, 2009. 947-956</w:t>
      </w:r>
      <w:r>
        <w:rPr>
          <w:rFonts w:hint="eastAsia" w:eastAsia="宋体"/>
          <w:szCs w:val="18"/>
        </w:rPr>
        <w:t>.</w:t>
      </w:r>
    </w:p>
    <w:p>
      <w:pPr>
        <w:pStyle w:val="24"/>
        <w:numPr>
          <w:ilvl w:val="0"/>
          <w:numId w:val="9"/>
        </w:numPr>
        <w:rPr>
          <w:rFonts w:eastAsia="宋体"/>
          <w:szCs w:val="18"/>
        </w:rPr>
      </w:pPr>
      <w:r>
        <w:rPr>
          <w:rFonts w:eastAsia="宋体"/>
          <w:szCs w:val="18"/>
        </w:rPr>
        <w:t>Liu X, Yang MCK. Simultaneous curve registration and clustering for functional data. Computational Statistics &amp; Data Analysis, 2009,</w:t>
      </w:r>
      <w:r>
        <w:rPr>
          <w:rFonts w:hint="eastAsia" w:eastAsia="宋体"/>
          <w:szCs w:val="18"/>
        </w:rPr>
        <w:t xml:space="preserve"> </w:t>
      </w:r>
      <w:r>
        <w:rPr>
          <w:rFonts w:eastAsia="宋体"/>
          <w:szCs w:val="18"/>
        </w:rPr>
        <w:t>53(4):1361-1376</w:t>
      </w:r>
      <w:r>
        <w:rPr>
          <w:rFonts w:hint="eastAsia" w:eastAsia="宋体"/>
          <w:szCs w:val="18"/>
        </w:rPr>
        <w:t>.</w:t>
      </w:r>
    </w:p>
    <w:p>
      <w:pPr>
        <w:pStyle w:val="24"/>
        <w:numPr>
          <w:ilvl w:val="0"/>
          <w:numId w:val="9"/>
        </w:numPr>
        <w:rPr>
          <w:rFonts w:eastAsia="宋体"/>
          <w:szCs w:val="18"/>
        </w:rPr>
      </w:pPr>
      <w:r>
        <w:rPr>
          <w:rFonts w:hint="eastAsia" w:eastAsia="宋体"/>
          <w:szCs w:val="18"/>
        </w:rPr>
        <w:t>Yu Erkeng, Power system state estimation[M]. Beijing: China Water Power Press, 1985: 62-64(in Chinese).</w:t>
      </w:r>
    </w:p>
    <w:p>
      <w:pPr>
        <w:pStyle w:val="24"/>
        <w:numPr>
          <w:ilvl w:val="0"/>
          <w:numId w:val="9"/>
        </w:numPr>
        <w:rPr>
          <w:rFonts w:eastAsia="宋体"/>
          <w:szCs w:val="18"/>
        </w:rPr>
      </w:pPr>
      <w:r>
        <w:rPr>
          <w:rFonts w:hint="eastAsia" w:eastAsia="宋体"/>
          <w:szCs w:val="18"/>
        </w:rPr>
        <w:t>State Grid Corporation of China. Technical specification for WAMS[S]. Beijing: State Grid Corporation of China, 2006(in Chinese).</w:t>
      </w:r>
    </w:p>
    <w:p>
      <w:pPr>
        <w:pStyle w:val="24"/>
        <w:numPr>
          <w:ilvl w:val="0"/>
          <w:numId w:val="9"/>
        </w:numPr>
        <w:rPr>
          <w:rFonts w:eastAsia="宋体"/>
          <w:szCs w:val="18"/>
        </w:rPr>
      </w:pPr>
      <w:r>
        <w:rPr>
          <w:rFonts w:eastAsia="宋体"/>
          <w:szCs w:val="18"/>
        </w:rPr>
        <w:t xml:space="preserve">Power System Relaying Committee of the IEEE Power Engineering </w:t>
      </w:r>
      <w:r>
        <w:rPr>
          <w:rFonts w:hint="eastAsia" w:eastAsia="宋体"/>
          <w:szCs w:val="18"/>
        </w:rPr>
        <w:t>Society. IEEE standard for synchrophasors for power systems [S]. New York：The Institute of Electrical and Electronics Engineers, Inc, 2005).</w:t>
      </w:r>
    </w:p>
    <w:p>
      <w:pPr>
        <w:pStyle w:val="24"/>
        <w:numPr>
          <w:ilvl w:val="0"/>
          <w:numId w:val="9"/>
        </w:numPr>
        <w:rPr>
          <w:rFonts w:eastAsia="宋体"/>
          <w:szCs w:val="18"/>
        </w:rPr>
      </w:pPr>
      <w:r>
        <w:rPr>
          <w:rFonts w:eastAsia="宋体"/>
          <w:szCs w:val="18"/>
        </w:rPr>
        <w:t>Liu X, Yang MCK. Simultaneous curve registration and clustering for functional data. Computational Statistics &amp; Data Analysis, 2009,</w:t>
      </w:r>
      <w:r>
        <w:rPr>
          <w:rFonts w:hint="eastAsia" w:eastAsia="宋体"/>
          <w:szCs w:val="18"/>
        </w:rPr>
        <w:t xml:space="preserve"> </w:t>
      </w:r>
      <w:r>
        <w:rPr>
          <w:rFonts w:eastAsia="宋体"/>
          <w:szCs w:val="18"/>
        </w:rPr>
        <w:t>53(4):1361-1376</w:t>
      </w:r>
      <w:r>
        <w:rPr>
          <w:rFonts w:hint="eastAsia" w:eastAsia="宋体"/>
          <w:szCs w:val="18"/>
        </w:rPr>
        <w:t>.</w:t>
      </w:r>
    </w:p>
    <w:p>
      <w:pPr>
        <w:pStyle w:val="24"/>
        <w:numPr>
          <w:ilvl w:val="0"/>
          <w:numId w:val="9"/>
        </w:numPr>
        <w:rPr>
          <w:rFonts w:eastAsia="宋体"/>
          <w:szCs w:val="18"/>
        </w:rPr>
      </w:pPr>
      <w:r>
        <w:rPr>
          <w:rFonts w:eastAsia="宋体"/>
          <w:szCs w:val="18"/>
        </w:rPr>
        <w:t>LI Dalu</w:t>
      </w:r>
      <w:r>
        <w:rPr>
          <w:rFonts w:hint="eastAsia" w:eastAsia="宋体"/>
          <w:szCs w:val="18"/>
        </w:rPr>
        <w:t>, LI Rui, SUN Y</w:t>
      </w:r>
      <w:r>
        <w:rPr>
          <w:rFonts w:eastAsia="宋体"/>
          <w:szCs w:val="18"/>
        </w:rPr>
        <w:t>uanzhang</w:t>
      </w:r>
      <w:r>
        <w:rPr>
          <w:rFonts w:hint="eastAsia" w:eastAsia="宋体"/>
          <w:szCs w:val="18"/>
        </w:rPr>
        <w:t>. D</w:t>
      </w:r>
      <w:r>
        <w:rPr>
          <w:rFonts w:eastAsia="宋体"/>
          <w:szCs w:val="18"/>
        </w:rPr>
        <w:t>ata compatibility analysis of WAMS/SCADA hybrid measurements state estimation[J]</w:t>
      </w:r>
      <w:r>
        <w:rPr>
          <w:rFonts w:hint="eastAsia" w:eastAsia="宋体"/>
          <w:szCs w:val="18"/>
        </w:rPr>
        <w:t xml:space="preserve"> P</w:t>
      </w:r>
      <w:r>
        <w:rPr>
          <w:rFonts w:eastAsia="宋体"/>
          <w:szCs w:val="18"/>
        </w:rPr>
        <w:t>rocceedings of the CSEE</w:t>
      </w:r>
      <w:r>
        <w:rPr>
          <w:rFonts w:hint="eastAsia" w:eastAsia="宋体"/>
          <w:szCs w:val="18"/>
        </w:rPr>
        <w:t>, 2010, 30（16</w:t>
      </w:r>
      <w:r>
        <w:rPr>
          <w:rFonts w:eastAsia="宋体"/>
          <w:szCs w:val="18"/>
        </w:rPr>
        <w:t>）</w:t>
      </w:r>
      <w:r>
        <w:rPr>
          <w:rFonts w:hint="eastAsia" w:eastAsia="宋体"/>
          <w:szCs w:val="18"/>
        </w:rPr>
        <w:t>: 60</w:t>
      </w:r>
      <w:r>
        <w:rPr>
          <w:rFonts w:eastAsia="宋体"/>
          <w:szCs w:val="18"/>
        </w:rPr>
        <w:t>-66</w:t>
      </w:r>
      <w:r>
        <w:rPr>
          <w:rFonts w:hint="eastAsia" w:eastAsia="宋体"/>
          <w:szCs w:val="18"/>
        </w:rPr>
        <w:t>.</w:t>
      </w:r>
    </w:p>
    <w:p>
      <w:pPr>
        <w:pStyle w:val="24"/>
        <w:numPr>
          <w:ilvl w:val="0"/>
          <w:numId w:val="9"/>
        </w:numPr>
        <w:rPr>
          <w:rFonts w:eastAsia="宋体"/>
          <w:szCs w:val="18"/>
        </w:rPr>
      </w:pPr>
      <w:r>
        <w:rPr>
          <w:rFonts w:eastAsia="宋体"/>
          <w:szCs w:val="18"/>
        </w:rPr>
        <w:t>LI Dalu</w:t>
      </w:r>
      <w:r>
        <w:rPr>
          <w:rFonts w:hint="eastAsia" w:eastAsia="宋体"/>
          <w:szCs w:val="18"/>
        </w:rPr>
        <w:t>, LI Rui, SUN Y</w:t>
      </w:r>
      <w:r>
        <w:rPr>
          <w:rFonts w:eastAsia="宋体"/>
          <w:szCs w:val="18"/>
        </w:rPr>
        <w:t>uanzhang</w:t>
      </w:r>
      <w:r>
        <w:rPr>
          <w:rFonts w:hint="eastAsia" w:eastAsia="宋体"/>
          <w:szCs w:val="18"/>
        </w:rPr>
        <w:t>. D</w:t>
      </w:r>
      <w:r>
        <w:rPr>
          <w:rFonts w:eastAsia="宋体"/>
          <w:szCs w:val="18"/>
        </w:rPr>
        <w:t>ata compatibility analysis of WAMS/SCADA hybrid measurements state estimation[J]</w:t>
      </w:r>
      <w:r>
        <w:rPr>
          <w:rFonts w:hint="eastAsia" w:eastAsia="宋体"/>
          <w:szCs w:val="18"/>
        </w:rPr>
        <w:t>. P</w:t>
      </w:r>
      <w:r>
        <w:rPr>
          <w:rFonts w:eastAsia="宋体"/>
          <w:szCs w:val="18"/>
        </w:rPr>
        <w:t>rocceedings of the CSEE</w:t>
      </w:r>
      <w:r>
        <w:rPr>
          <w:rFonts w:hint="eastAsia" w:eastAsia="宋体"/>
          <w:szCs w:val="18"/>
        </w:rPr>
        <w:t>, 2010, 30（16</w:t>
      </w:r>
      <w:r>
        <w:rPr>
          <w:rFonts w:eastAsia="宋体"/>
          <w:szCs w:val="18"/>
        </w:rPr>
        <w:t>）</w:t>
      </w:r>
      <w:r>
        <w:rPr>
          <w:rFonts w:hint="eastAsia" w:eastAsia="宋体"/>
          <w:szCs w:val="18"/>
        </w:rPr>
        <w:t>: 60</w:t>
      </w:r>
      <w:r>
        <w:rPr>
          <w:rFonts w:eastAsia="宋体"/>
          <w:szCs w:val="18"/>
        </w:rPr>
        <w:t>-66</w:t>
      </w:r>
      <w:r>
        <w:rPr>
          <w:rFonts w:hint="eastAsia" w:eastAsia="宋体"/>
          <w:szCs w:val="18"/>
        </w:rPr>
        <w:t>.</w:t>
      </w:r>
    </w:p>
    <w:p>
      <w:pPr>
        <w:pStyle w:val="24"/>
        <w:numPr>
          <w:ilvl w:val="0"/>
          <w:numId w:val="9"/>
        </w:numPr>
        <w:rPr>
          <w:rFonts w:eastAsia="宋体"/>
          <w:szCs w:val="18"/>
        </w:rPr>
      </w:pPr>
      <w:r>
        <w:rPr>
          <w:rFonts w:eastAsia="宋体"/>
          <w:szCs w:val="18"/>
        </w:rPr>
        <w:t>YOU Jiaxun</w:t>
      </w:r>
      <w:r>
        <w:rPr>
          <w:rFonts w:hint="eastAsia" w:eastAsia="宋体"/>
          <w:szCs w:val="18"/>
        </w:rPr>
        <w:t>, HUANG B</w:t>
      </w:r>
      <w:r>
        <w:rPr>
          <w:rFonts w:eastAsia="宋体"/>
          <w:szCs w:val="18"/>
        </w:rPr>
        <w:t>in</w:t>
      </w:r>
      <w:r>
        <w:rPr>
          <w:rFonts w:hint="eastAsia" w:eastAsia="宋体"/>
          <w:szCs w:val="18"/>
        </w:rPr>
        <w:t>, GUO C</w:t>
      </w:r>
      <w:r>
        <w:rPr>
          <w:rFonts w:eastAsia="宋体"/>
          <w:szCs w:val="18"/>
        </w:rPr>
        <w:t>huangxin</w:t>
      </w:r>
      <w:r>
        <w:rPr>
          <w:rFonts w:hint="eastAsia" w:eastAsia="宋体"/>
          <w:szCs w:val="18"/>
        </w:rPr>
        <w:t xml:space="preserve">, </w:t>
      </w:r>
      <w:r>
        <w:rPr>
          <w:rFonts w:eastAsia="宋体"/>
          <w:szCs w:val="18"/>
        </w:rPr>
        <w:t>etal</w:t>
      </w:r>
      <w:r>
        <w:rPr>
          <w:rFonts w:hint="eastAsia" w:eastAsia="宋体"/>
          <w:szCs w:val="18"/>
        </w:rPr>
        <w:t xml:space="preserve"> S</w:t>
      </w:r>
      <w:r>
        <w:rPr>
          <w:rFonts w:eastAsia="宋体"/>
          <w:szCs w:val="18"/>
        </w:rPr>
        <w:t>tate estimation using SCADA and PMU hybrid measurements [J]</w:t>
      </w:r>
      <w:r>
        <w:rPr>
          <w:rFonts w:hint="eastAsia" w:eastAsia="宋体"/>
          <w:szCs w:val="18"/>
        </w:rPr>
        <w:t xml:space="preserve"> H</w:t>
      </w:r>
      <w:r>
        <w:rPr>
          <w:rFonts w:eastAsia="宋体"/>
          <w:szCs w:val="18"/>
        </w:rPr>
        <w:t>igh Voltage Engineering</w:t>
      </w:r>
      <w:r>
        <w:rPr>
          <w:rFonts w:hint="eastAsia" w:eastAsia="宋体"/>
          <w:szCs w:val="18"/>
        </w:rPr>
        <w:t>, 2009, 35（7</w:t>
      </w:r>
      <w:r>
        <w:rPr>
          <w:rFonts w:eastAsia="宋体"/>
          <w:szCs w:val="18"/>
        </w:rPr>
        <w:t>）</w:t>
      </w:r>
      <w:r>
        <w:rPr>
          <w:rFonts w:hint="eastAsia" w:eastAsia="宋体"/>
          <w:szCs w:val="18"/>
        </w:rPr>
        <w:t>: 1765</w:t>
      </w:r>
      <w:r>
        <w:rPr>
          <w:rFonts w:eastAsia="宋体"/>
          <w:szCs w:val="18"/>
        </w:rPr>
        <w:t>-1796</w:t>
      </w:r>
      <w:r>
        <w:rPr>
          <w:rFonts w:hint="eastAsia" w:eastAsia="宋体"/>
          <w:szCs w:val="18"/>
        </w:rPr>
        <w:t>.</w:t>
      </w:r>
    </w:p>
    <w:p>
      <w:pPr>
        <w:pStyle w:val="24"/>
        <w:numPr>
          <w:ilvl w:val="0"/>
          <w:numId w:val="9"/>
        </w:numPr>
        <w:rPr>
          <w:rFonts w:eastAsia="宋体"/>
          <w:szCs w:val="18"/>
        </w:rPr>
      </w:pPr>
      <w:r>
        <w:rPr>
          <w:rFonts w:eastAsia="宋体"/>
          <w:szCs w:val="18"/>
        </w:rPr>
        <w:t xml:space="preserve">WU Xing, LIU Tianqi, LI Xingyuan, LI CongshanOptimal Configuration of PMU Based on Data Compatibility of WAMS/SCADA and Improved FCM Clustering Algorithm </w:t>
      </w:r>
      <w:r>
        <w:rPr>
          <w:rFonts w:hint="eastAsia" w:eastAsia="宋体"/>
          <w:szCs w:val="18"/>
        </w:rPr>
        <w:t xml:space="preserve">[J] </w:t>
      </w:r>
      <w:r>
        <w:rPr>
          <w:rFonts w:eastAsia="宋体"/>
          <w:szCs w:val="18"/>
        </w:rPr>
        <w:t>Power System Technology</w:t>
      </w:r>
      <w:r>
        <w:rPr>
          <w:rFonts w:hint="eastAsia" w:eastAsia="宋体"/>
          <w:szCs w:val="18"/>
        </w:rPr>
        <w:t>, 2014, (03): 756-761.</w:t>
      </w:r>
    </w:p>
    <w:p>
      <w:pPr>
        <w:pStyle w:val="24"/>
        <w:numPr>
          <w:ilvl w:val="0"/>
          <w:numId w:val="9"/>
        </w:numPr>
        <w:rPr>
          <w:rFonts w:eastAsia="宋体"/>
          <w:szCs w:val="18"/>
        </w:rPr>
      </w:pPr>
      <w:r>
        <w:rPr>
          <w:rFonts w:eastAsia="宋体"/>
          <w:szCs w:val="18"/>
        </w:rPr>
        <w:t>LIU Daowei1, SONG Dunwen1, WANG Hongyin2Voltage Stability</w:t>
      </w:r>
      <w:r>
        <w:rPr>
          <w:rFonts w:hint="eastAsia" w:eastAsia="宋体"/>
          <w:szCs w:val="18"/>
        </w:rPr>
        <w:t xml:space="preserve"> </w:t>
      </w:r>
      <w:r>
        <w:rPr>
          <w:rFonts w:eastAsia="宋体"/>
          <w:szCs w:val="18"/>
        </w:rPr>
        <w:t>Online Evaluation System Based on WAMS and EMS Power System Technology</w:t>
      </w:r>
      <w:r>
        <w:rPr>
          <w:rFonts w:hint="eastAsia" w:eastAsia="宋体"/>
          <w:szCs w:val="18"/>
        </w:rPr>
        <w:t>2014, (07): 1934-1938.</w:t>
      </w:r>
    </w:p>
    <w:p>
      <w:pPr>
        <w:pStyle w:val="24"/>
        <w:numPr>
          <w:ilvl w:val="0"/>
          <w:numId w:val="9"/>
        </w:numPr>
        <w:rPr>
          <w:rFonts w:eastAsia="宋体"/>
          <w:szCs w:val="18"/>
        </w:rPr>
      </w:pPr>
      <w:r>
        <w:rPr>
          <w:rFonts w:hint="eastAsia" w:eastAsia="宋体"/>
          <w:szCs w:val="18"/>
        </w:rPr>
        <w:t xml:space="preserve">ZHOU Hong, LI Qiang, LIN Tao </w:t>
      </w:r>
      <w:r>
        <w:rPr>
          <w:rFonts w:eastAsia="宋体"/>
          <w:szCs w:val="18"/>
        </w:rPr>
        <w:t>Power system disturbance and operation identification based on WAMS</w:t>
      </w:r>
      <w:r>
        <w:rPr>
          <w:rFonts w:hint="eastAsia" w:eastAsia="宋体"/>
          <w:szCs w:val="18"/>
        </w:rPr>
        <w:t xml:space="preserve"> </w:t>
      </w:r>
      <w:r>
        <w:rPr>
          <w:rFonts w:eastAsia="宋体"/>
          <w:szCs w:val="18"/>
        </w:rPr>
        <w:t>Electric Power Automation Equipment</w:t>
      </w:r>
      <w:r>
        <w:rPr>
          <w:rFonts w:hint="eastAsia" w:eastAsia="宋体"/>
          <w:szCs w:val="18"/>
        </w:rPr>
        <w:t>2011, (02): 7-11.</w:t>
      </w:r>
    </w:p>
    <w:p>
      <w:pPr>
        <w:pStyle w:val="24"/>
        <w:numPr>
          <w:ilvl w:val="0"/>
          <w:numId w:val="9"/>
        </w:numPr>
        <w:rPr>
          <w:rFonts w:eastAsia="宋体"/>
          <w:szCs w:val="18"/>
        </w:rPr>
      </w:pPr>
      <w:r>
        <w:rPr>
          <w:rFonts w:eastAsia="宋体"/>
          <w:szCs w:val="18"/>
        </w:rPr>
        <w:t>Li Hong, research on some issues of power system state estimation based on WAMS.</w:t>
      </w:r>
      <w:r>
        <w:rPr>
          <w:rFonts w:hint="eastAsia" w:eastAsia="宋体"/>
          <w:szCs w:val="18"/>
        </w:rPr>
        <w:t xml:space="preserve"> </w:t>
      </w:r>
      <w:r>
        <w:rPr>
          <w:rFonts w:eastAsia="宋体"/>
          <w:szCs w:val="18"/>
        </w:rPr>
        <w:t>[D] North China Electric Power University</w:t>
      </w:r>
      <w:r>
        <w:rPr>
          <w:rFonts w:hint="eastAsia" w:eastAsia="宋体"/>
          <w:szCs w:val="18"/>
        </w:rPr>
        <w:t xml:space="preserve"> </w:t>
      </w:r>
      <w:r>
        <w:rPr>
          <w:rFonts w:eastAsia="宋体"/>
          <w:szCs w:val="18"/>
        </w:rPr>
        <w:t>(Beijing), 2010</w:t>
      </w:r>
      <w:r>
        <w:rPr>
          <w:rFonts w:hint="eastAsia" w:eastAsia="宋体"/>
          <w:szCs w:val="18"/>
        </w:rPr>
        <w:t>.</w:t>
      </w:r>
    </w:p>
    <w:p>
      <w:pPr>
        <w:pStyle w:val="24"/>
        <w:numPr>
          <w:ilvl w:val="0"/>
          <w:numId w:val="9"/>
        </w:numPr>
        <w:rPr>
          <w:rFonts w:eastAsia="宋体"/>
          <w:szCs w:val="18"/>
        </w:rPr>
      </w:pPr>
      <w:r>
        <w:rPr>
          <w:rFonts w:eastAsia="宋体"/>
          <w:szCs w:val="18"/>
        </w:rPr>
        <w:t>JI Luyu</w:t>
      </w:r>
      <w:r>
        <w:rPr>
          <w:rFonts w:hint="eastAsia" w:eastAsia="宋体"/>
          <w:szCs w:val="18"/>
        </w:rPr>
        <w:t xml:space="preserve"> </w:t>
      </w:r>
      <w:r>
        <w:rPr>
          <w:rFonts w:eastAsia="宋体"/>
          <w:szCs w:val="18"/>
        </w:rPr>
        <w:t>, WU Junyong</w:t>
      </w:r>
      <w:r>
        <w:rPr>
          <w:rFonts w:hint="eastAsia" w:eastAsia="宋体"/>
          <w:szCs w:val="18"/>
        </w:rPr>
        <w:t xml:space="preserve"> </w:t>
      </w:r>
      <w:r>
        <w:rPr>
          <w:rFonts w:eastAsia="宋体"/>
          <w:szCs w:val="18"/>
        </w:rPr>
        <w:t>, ZHOU Yanzhen</w:t>
      </w:r>
      <w:r>
        <w:rPr>
          <w:rFonts w:hint="eastAsia" w:eastAsia="宋体"/>
          <w:szCs w:val="18"/>
        </w:rPr>
        <w:t xml:space="preserve"> </w:t>
      </w:r>
      <w:r>
        <w:rPr>
          <w:rFonts w:eastAsia="宋体"/>
          <w:szCs w:val="18"/>
        </w:rPr>
        <w:t>Transient Stability Prediction of Power System Based on WAMS Characteristic of</w:t>
      </w:r>
      <w:r>
        <w:rPr>
          <w:rFonts w:hint="eastAsia" w:eastAsia="宋体"/>
          <w:szCs w:val="18"/>
        </w:rPr>
        <w:t xml:space="preserve"> </w:t>
      </w:r>
      <w:r>
        <w:rPr>
          <w:rFonts w:eastAsia="宋体"/>
          <w:szCs w:val="18"/>
        </w:rPr>
        <w:t>Perturbed Voltage Trajectory Clusters</w:t>
      </w:r>
      <w:r>
        <w:rPr>
          <w:rFonts w:hint="eastAsia" w:eastAsia="宋体"/>
          <w:szCs w:val="18"/>
        </w:rPr>
        <w:t xml:space="preserve"> </w:t>
      </w:r>
      <w:r>
        <w:rPr>
          <w:rFonts w:eastAsia="宋体"/>
          <w:szCs w:val="18"/>
        </w:rPr>
        <w:t>[J]</w:t>
      </w:r>
      <w:r>
        <w:rPr>
          <w:rFonts w:hint="eastAsia" w:eastAsia="宋体"/>
          <w:szCs w:val="18"/>
        </w:rPr>
        <w:t>H</w:t>
      </w:r>
      <w:r>
        <w:rPr>
          <w:rFonts w:eastAsia="宋体"/>
          <w:szCs w:val="18"/>
        </w:rPr>
        <w:t>igh Voltage Engineering</w:t>
      </w:r>
      <w:r>
        <w:rPr>
          <w:rFonts w:hint="eastAsia" w:eastAsia="宋体"/>
          <w:szCs w:val="18"/>
        </w:rPr>
        <w:t xml:space="preserve"> </w:t>
      </w:r>
      <w:r>
        <w:rPr>
          <w:rFonts w:eastAsia="宋体"/>
          <w:szCs w:val="18"/>
        </w:rPr>
        <w:t>2015,</w:t>
      </w:r>
      <w:r>
        <w:rPr>
          <w:rFonts w:hint="eastAsia" w:eastAsia="宋体"/>
          <w:szCs w:val="18"/>
        </w:rPr>
        <w:t xml:space="preserve"> </w:t>
      </w:r>
      <w:r>
        <w:rPr>
          <w:rFonts w:eastAsia="宋体"/>
          <w:szCs w:val="18"/>
        </w:rPr>
        <w:t>(03): 807-814</w:t>
      </w:r>
      <w:r>
        <w:rPr>
          <w:rFonts w:hint="eastAsia" w:eastAsia="宋体"/>
          <w:szCs w:val="18"/>
        </w:rPr>
        <w:t>.</w:t>
      </w:r>
    </w:p>
    <w:p>
      <w:pPr>
        <w:pStyle w:val="24"/>
        <w:numPr>
          <w:ilvl w:val="0"/>
          <w:numId w:val="9"/>
        </w:numPr>
        <w:rPr>
          <w:rFonts w:eastAsia="宋体"/>
          <w:szCs w:val="18"/>
        </w:rPr>
      </w:pPr>
      <w:r>
        <w:rPr>
          <w:rFonts w:eastAsia="宋体"/>
          <w:szCs w:val="18"/>
        </w:rPr>
        <w:t>WANG Huaibao, SHEN Hong, ZHANG Ying, Grid Synchronization Method Based on Improved Adaptive Filter.</w:t>
      </w:r>
      <w:r>
        <w:rPr>
          <w:rFonts w:hint="eastAsia" w:eastAsia="宋体"/>
          <w:szCs w:val="18"/>
        </w:rPr>
        <w:t xml:space="preserve"> </w:t>
      </w:r>
      <w:r>
        <w:rPr>
          <w:rFonts w:eastAsia="宋体"/>
          <w:szCs w:val="18"/>
        </w:rPr>
        <w:t>[J]</w:t>
      </w:r>
      <w:r>
        <w:rPr>
          <w:rFonts w:hint="eastAsia" w:eastAsia="宋体"/>
          <w:szCs w:val="18"/>
        </w:rPr>
        <w:t>H</w:t>
      </w:r>
      <w:r>
        <w:rPr>
          <w:rFonts w:eastAsia="宋体"/>
          <w:szCs w:val="18"/>
        </w:rPr>
        <w:t>igh Voltage Engineering</w:t>
      </w:r>
      <w:r>
        <w:rPr>
          <w:rFonts w:hint="eastAsia" w:eastAsia="宋体"/>
          <w:szCs w:val="18"/>
        </w:rPr>
        <w:t xml:space="preserve"> </w:t>
      </w:r>
      <w:r>
        <w:rPr>
          <w:rFonts w:eastAsia="宋体"/>
          <w:szCs w:val="18"/>
        </w:rPr>
        <w:t>2014,</w:t>
      </w:r>
      <w:r>
        <w:rPr>
          <w:rFonts w:hint="eastAsia" w:eastAsia="宋体"/>
          <w:szCs w:val="18"/>
        </w:rPr>
        <w:t xml:space="preserve"> </w:t>
      </w:r>
      <w:r>
        <w:rPr>
          <w:rFonts w:eastAsia="宋体"/>
          <w:szCs w:val="18"/>
        </w:rPr>
        <w:t>(11): 3636-3641</w:t>
      </w:r>
      <w:r>
        <w:rPr>
          <w:rFonts w:hint="eastAsia" w:eastAsia="宋体"/>
          <w:szCs w:val="18"/>
        </w:rPr>
        <w:t>.</w:t>
      </w:r>
    </w:p>
    <w:p>
      <w:pPr>
        <w:pStyle w:val="24"/>
        <w:numPr>
          <w:ilvl w:val="0"/>
          <w:numId w:val="9"/>
        </w:numPr>
        <w:rPr>
          <w:rFonts w:eastAsia="宋体"/>
          <w:szCs w:val="18"/>
        </w:rPr>
      </w:pPr>
      <w:r>
        <w:rPr>
          <w:rFonts w:eastAsia="宋体"/>
          <w:szCs w:val="18"/>
        </w:rPr>
        <w:t>YANG Jun, LIU Pei, HU Wenping</w:t>
      </w:r>
      <w:r>
        <w:rPr>
          <w:rFonts w:hint="eastAsia" w:eastAsia="宋体"/>
          <w:szCs w:val="18"/>
        </w:rPr>
        <w:t xml:space="preserve"> </w:t>
      </w:r>
      <w:r>
        <w:rPr>
          <w:rFonts w:eastAsia="宋体"/>
          <w:szCs w:val="18"/>
        </w:rPr>
        <w:t>Method for Predicting Failure Rate of Power Transmission Equipment</w:t>
      </w:r>
      <w:r>
        <w:rPr>
          <w:rFonts w:hint="eastAsia" w:eastAsia="宋体"/>
          <w:szCs w:val="18"/>
        </w:rPr>
        <w:t xml:space="preserve"> </w:t>
      </w:r>
      <w:r>
        <w:rPr>
          <w:rFonts w:eastAsia="宋体"/>
          <w:szCs w:val="18"/>
        </w:rPr>
        <w:t>Based on Cloud Theory</w:t>
      </w:r>
      <w:r>
        <w:rPr>
          <w:rFonts w:hint="eastAsia" w:eastAsia="宋体"/>
          <w:szCs w:val="18"/>
        </w:rPr>
        <w:t xml:space="preserve"> </w:t>
      </w:r>
      <w:r>
        <w:rPr>
          <w:rFonts w:eastAsia="宋体"/>
          <w:szCs w:val="18"/>
        </w:rPr>
        <w:t>[J]</w:t>
      </w:r>
      <w:r>
        <w:rPr>
          <w:rFonts w:hint="eastAsia" w:eastAsia="宋体"/>
          <w:szCs w:val="18"/>
        </w:rPr>
        <w:t>H</w:t>
      </w:r>
      <w:r>
        <w:rPr>
          <w:rFonts w:eastAsia="宋体"/>
          <w:szCs w:val="18"/>
        </w:rPr>
        <w:t>igh Voltage Engineering2014,</w:t>
      </w:r>
      <w:r>
        <w:rPr>
          <w:rFonts w:hint="eastAsia" w:eastAsia="宋体"/>
          <w:szCs w:val="18"/>
        </w:rPr>
        <w:t xml:space="preserve"> </w:t>
      </w:r>
      <w:r>
        <w:rPr>
          <w:rFonts w:eastAsia="宋体"/>
          <w:szCs w:val="18"/>
        </w:rPr>
        <w:t>(08): 2321-2327</w:t>
      </w:r>
      <w:r>
        <w:rPr>
          <w:rFonts w:hint="eastAsia" w:eastAsia="宋体"/>
          <w:szCs w:val="18"/>
        </w:rPr>
        <w:t>.</w:t>
      </w:r>
    </w:p>
    <w:p>
      <w:pPr>
        <w:pStyle w:val="24"/>
        <w:numPr>
          <w:ilvl w:val="0"/>
          <w:numId w:val="9"/>
        </w:numPr>
        <w:rPr>
          <w:rFonts w:eastAsia="宋体"/>
          <w:szCs w:val="18"/>
        </w:rPr>
      </w:pPr>
      <w:r>
        <w:rPr>
          <w:rFonts w:eastAsia="宋体"/>
          <w:szCs w:val="18"/>
        </w:rPr>
        <w:t>HU Jun, CAI Jingwen, HE Jinliang</w:t>
      </w:r>
      <w:r>
        <w:rPr>
          <w:rFonts w:hint="eastAsia" w:eastAsia="宋体"/>
          <w:szCs w:val="18"/>
        </w:rPr>
        <w:t xml:space="preserve"> </w:t>
      </w:r>
      <w:r>
        <w:rPr>
          <w:rFonts w:eastAsia="宋体"/>
          <w:szCs w:val="18"/>
        </w:rPr>
        <w:t>Factors Impacting Self-healing Overvoltage of Smart Distribution Network</w:t>
      </w:r>
      <w:r>
        <w:rPr>
          <w:rFonts w:hint="eastAsia" w:eastAsia="宋体"/>
          <w:szCs w:val="18"/>
        </w:rPr>
        <w:t xml:space="preserve"> </w:t>
      </w:r>
      <w:r>
        <w:rPr>
          <w:rFonts w:eastAsia="宋体"/>
          <w:szCs w:val="18"/>
        </w:rPr>
        <w:t>Connected with Micro grids[J]</w:t>
      </w:r>
      <w:r>
        <w:rPr>
          <w:rFonts w:hint="eastAsia" w:eastAsia="宋体"/>
          <w:szCs w:val="18"/>
        </w:rPr>
        <w:t>H</w:t>
      </w:r>
      <w:r>
        <w:rPr>
          <w:rFonts w:eastAsia="宋体"/>
          <w:szCs w:val="18"/>
        </w:rPr>
        <w:t>igh Voltage Engineering2014,</w:t>
      </w:r>
      <w:r>
        <w:rPr>
          <w:rFonts w:hint="eastAsia" w:eastAsia="宋体"/>
          <w:szCs w:val="18"/>
        </w:rPr>
        <w:t xml:space="preserve"> </w:t>
      </w:r>
      <w:r>
        <w:rPr>
          <w:rFonts w:eastAsia="宋体"/>
          <w:szCs w:val="18"/>
        </w:rPr>
        <w:t>(05): 1559-1566</w:t>
      </w:r>
      <w:r>
        <w:rPr>
          <w:rFonts w:hint="eastAsia" w:eastAsia="宋体"/>
          <w:szCs w:val="18"/>
        </w:rPr>
        <w:t>.</w:t>
      </w:r>
    </w:p>
    <w:sectPr>
      <w:type w:val="continuous"/>
      <w:pgSz w:w="11906" w:h="16838"/>
      <w:pgMar w:top="2948" w:right="2495" w:bottom="2948" w:left="2495" w:header="2381" w:footer="23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iti SC Light">
    <w:altName w:val="Arial Unicode MS"/>
    <w:panose1 w:val="02000000000000000000"/>
    <w:charset w:val="50"/>
    <w:family w:val="auto"/>
    <w:pitch w:val="default"/>
    <w:sig w:usb0="00000000" w:usb1="00000000" w:usb2="0100040E" w:usb3="00000000" w:csb0="00040000" w:csb1="00000000"/>
  </w:font>
  <w:font w:name="Calibri Light">
    <w:altName w:val="Arial"/>
    <w:panose1 w:val="00000000000000000000"/>
    <w:charset w:val="00"/>
    <w:family w:val="swiss"/>
    <w:pitch w:val="default"/>
    <w:sig w:usb0="00000000" w:usb1="00000000" w:usb2="00000000" w:usb3="00000000" w:csb0="0000019F" w:csb1="00000000"/>
  </w:font>
  <w:font w:name="Segoe UI">
    <w:panose1 w:val="020B0502040204020203"/>
    <w:charset w:val="00"/>
    <w:family w:val="auto"/>
    <w:pitch w:val="default"/>
    <w:sig w:usb0="E00022FF" w:usb1="C000205B" w:usb2="00000009" w:usb3="00000000" w:csb0="200001DF" w:csb1="2008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 w:name="Times-Roman">
    <w:altName w:val="Times New Roman"/>
    <w:panose1 w:val="00000000000000000000"/>
    <w:charset w:val="00"/>
    <w:family w:val="roman"/>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25E"/>
    <w:multiLevelType w:val="multilevel"/>
    <w:tmpl w:val="0165225E"/>
    <w:lvl w:ilvl="0" w:tentative="0">
      <w:start w:val="2"/>
      <w:numFmt w:val="decimal"/>
      <w:lvlText w:val="1.1.1.%1."/>
      <w:lvlJc w:val="left"/>
      <w:pPr>
        <w:ind w:left="360" w:hanging="360"/>
      </w:pPr>
      <w:rPr>
        <w:rFonts w:hint="eastAsia"/>
      </w:rPr>
    </w:lvl>
    <w:lvl w:ilvl="1" w:tentative="0">
      <w:start w:val="1"/>
      <w:numFmt w:val="decimal"/>
      <w:lvlText w:val="4.%2."/>
      <w:lvlJc w:val="left"/>
      <w:pPr>
        <w:ind w:left="360" w:hanging="36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8C27307"/>
    <w:multiLevelType w:val="multilevel"/>
    <w:tmpl w:val="18C273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7933AB"/>
    <w:multiLevelType w:val="multilevel"/>
    <w:tmpl w:val="227933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2D72ED"/>
    <w:multiLevelType w:val="multilevel"/>
    <w:tmpl w:val="252D72ED"/>
    <w:lvl w:ilvl="0" w:tentative="0">
      <w:start w:val="1"/>
      <w:numFmt w:val="decimal"/>
      <w:lvlText w:val="%1."/>
      <w:lvlJc w:val="left"/>
      <w:pPr>
        <w:ind w:left="647" w:hanging="420"/>
      </w:pPr>
    </w:lvl>
    <w:lvl w:ilvl="1" w:tentative="0">
      <w:start w:val="1"/>
      <w:numFmt w:val="lowerLetter"/>
      <w:lvlText w:val="%2)"/>
      <w:lvlJc w:val="left"/>
      <w:pPr>
        <w:ind w:left="1067" w:hanging="420"/>
      </w:pPr>
    </w:lvl>
    <w:lvl w:ilvl="2" w:tentative="0">
      <w:start w:val="1"/>
      <w:numFmt w:val="lowerRoman"/>
      <w:lvlText w:val="%3."/>
      <w:lvlJc w:val="right"/>
      <w:pPr>
        <w:ind w:left="1487" w:hanging="420"/>
      </w:pPr>
    </w:lvl>
    <w:lvl w:ilvl="3" w:tentative="0">
      <w:start w:val="1"/>
      <w:numFmt w:val="decimal"/>
      <w:lvlText w:val="%4."/>
      <w:lvlJc w:val="left"/>
      <w:pPr>
        <w:ind w:left="1907" w:hanging="420"/>
      </w:pPr>
    </w:lvl>
    <w:lvl w:ilvl="4" w:tentative="0">
      <w:start w:val="1"/>
      <w:numFmt w:val="lowerLetter"/>
      <w:lvlText w:val="%5)"/>
      <w:lvlJc w:val="left"/>
      <w:pPr>
        <w:ind w:left="2327" w:hanging="420"/>
      </w:pPr>
    </w:lvl>
    <w:lvl w:ilvl="5" w:tentative="0">
      <w:start w:val="1"/>
      <w:numFmt w:val="lowerRoman"/>
      <w:lvlText w:val="%6."/>
      <w:lvlJc w:val="right"/>
      <w:pPr>
        <w:ind w:left="2747" w:hanging="420"/>
      </w:pPr>
    </w:lvl>
    <w:lvl w:ilvl="6" w:tentative="0">
      <w:start w:val="1"/>
      <w:numFmt w:val="decimal"/>
      <w:lvlText w:val="%7."/>
      <w:lvlJc w:val="left"/>
      <w:pPr>
        <w:ind w:left="3167" w:hanging="420"/>
      </w:pPr>
    </w:lvl>
    <w:lvl w:ilvl="7" w:tentative="0">
      <w:start w:val="1"/>
      <w:numFmt w:val="lowerLetter"/>
      <w:lvlText w:val="%8)"/>
      <w:lvlJc w:val="left"/>
      <w:pPr>
        <w:ind w:left="3587" w:hanging="420"/>
      </w:pPr>
    </w:lvl>
    <w:lvl w:ilvl="8" w:tentative="0">
      <w:start w:val="1"/>
      <w:numFmt w:val="lowerRoman"/>
      <w:lvlText w:val="%9."/>
      <w:lvlJc w:val="right"/>
      <w:pPr>
        <w:ind w:left="4007" w:hanging="420"/>
      </w:pPr>
    </w:lvl>
  </w:abstractNum>
  <w:abstractNum w:abstractNumId="4">
    <w:nsid w:val="2B23060F"/>
    <w:multiLevelType w:val="multilevel"/>
    <w:tmpl w:val="2B23060F"/>
    <w:lvl w:ilvl="0" w:tentative="0">
      <w:start w:val="1"/>
      <w:numFmt w:val="decimal"/>
      <w:lvlText w:val="1.1.1.%1."/>
      <w:lvlJc w:val="left"/>
      <w:pPr>
        <w:ind w:left="360" w:hanging="360"/>
      </w:pPr>
      <w:rPr>
        <w:rFonts w:hint="eastAsia"/>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422B2BBB"/>
    <w:multiLevelType w:val="multilevel"/>
    <w:tmpl w:val="422B2B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B46D3E"/>
    <w:multiLevelType w:val="multilevel"/>
    <w:tmpl w:val="44B46D3E"/>
    <w:lvl w:ilvl="0" w:tentative="0">
      <w:start w:val="1"/>
      <w:numFmt w:val="decimal"/>
      <w:lvlText w:val="1.1.%1."/>
      <w:lvlJc w:val="left"/>
      <w:pPr>
        <w:ind w:left="360" w:hanging="360"/>
      </w:pPr>
      <w:rPr>
        <w:rFonts w:hint="eastAsia"/>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59630068"/>
    <w:multiLevelType w:val="singleLevel"/>
    <w:tmpl w:val="59630068"/>
    <w:lvl w:ilvl="0" w:tentative="0">
      <w:start w:val="1"/>
      <w:numFmt w:val="decimal"/>
      <w:suff w:val="space"/>
      <w:lvlText w:val="%1."/>
      <w:lvlJc w:val="left"/>
    </w:lvl>
  </w:abstractNum>
  <w:abstractNum w:abstractNumId="8">
    <w:nsid w:val="5BA46D7A"/>
    <w:multiLevelType w:val="multilevel"/>
    <w:tmpl w:val="5BA46D7A"/>
    <w:lvl w:ilvl="0" w:tentative="0">
      <w:start w:val="1"/>
      <w:numFmt w:val="decimal"/>
      <w:lvlText w:val="1.%1."/>
      <w:lvlJc w:val="left"/>
      <w:pPr>
        <w:ind w:left="360" w:hanging="360"/>
      </w:pPr>
      <w:rPr>
        <w:rFonts w:hint="eastAsia"/>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393"/>
    <w:rsid w:val="0004583B"/>
    <w:rsid w:val="00061BBA"/>
    <w:rsid w:val="000D46C3"/>
    <w:rsid w:val="00133E7A"/>
    <w:rsid w:val="0018402E"/>
    <w:rsid w:val="002106AC"/>
    <w:rsid w:val="002529C5"/>
    <w:rsid w:val="00254F16"/>
    <w:rsid w:val="002D361B"/>
    <w:rsid w:val="00325ABD"/>
    <w:rsid w:val="00337D9B"/>
    <w:rsid w:val="003647AB"/>
    <w:rsid w:val="00440A24"/>
    <w:rsid w:val="004F4DC4"/>
    <w:rsid w:val="0050307D"/>
    <w:rsid w:val="00592CCA"/>
    <w:rsid w:val="00617DED"/>
    <w:rsid w:val="006311E6"/>
    <w:rsid w:val="00633101"/>
    <w:rsid w:val="0064171E"/>
    <w:rsid w:val="006D7568"/>
    <w:rsid w:val="00710F5A"/>
    <w:rsid w:val="0073662A"/>
    <w:rsid w:val="00751790"/>
    <w:rsid w:val="00751CCA"/>
    <w:rsid w:val="007A23B6"/>
    <w:rsid w:val="00884AA1"/>
    <w:rsid w:val="008C4B1A"/>
    <w:rsid w:val="00950F92"/>
    <w:rsid w:val="00A01C80"/>
    <w:rsid w:val="00A50BE5"/>
    <w:rsid w:val="00A5790E"/>
    <w:rsid w:val="00AD40A9"/>
    <w:rsid w:val="00AD5BB3"/>
    <w:rsid w:val="00B62338"/>
    <w:rsid w:val="00B829DF"/>
    <w:rsid w:val="00B90F2E"/>
    <w:rsid w:val="00C618E3"/>
    <w:rsid w:val="00D50DA8"/>
    <w:rsid w:val="00DD1996"/>
    <w:rsid w:val="00F85246"/>
    <w:rsid w:val="00F9212C"/>
    <w:rsid w:val="00FB51B0"/>
    <w:rsid w:val="00FD4C20"/>
    <w:rsid w:val="00FF2443"/>
    <w:rsid w:val="18930956"/>
    <w:rsid w:val="3B4369A9"/>
  </w:rsids>
  <m:mathPr>
    <m:lMargin m:val="0"/>
    <m:mathFont m:val="微软雅黑"/>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napToGrid w:val="0"/>
      <w:spacing w:line="280" w:lineRule="exact"/>
      <w:jc w:val="center"/>
      <w:outlineLvl w:val="0"/>
    </w:pPr>
    <w:rPr>
      <w:rFonts w:eastAsia="黑体"/>
      <w:b/>
      <w:bCs/>
      <w:color w:val="000000"/>
      <w:sz w:val="18"/>
    </w:rPr>
  </w:style>
  <w:style w:type="character" w:default="1" w:styleId="7">
    <w:name w:val="Default Paragraph Font"/>
    <w:unhideWhenUsed/>
    <w:uiPriority w:val="0"/>
  </w:style>
  <w:style w:type="table" w:default="1" w:styleId="8">
    <w:name w:val="Normal Table"/>
    <w:unhideWhenUsed/>
    <w:qFormat/>
    <w:uiPriority w:val="0"/>
    <w:tblPr>
      <w:tblLayout w:type="fixed"/>
      <w:tblCellMar>
        <w:top w:w="0" w:type="dxa"/>
        <w:left w:w="108" w:type="dxa"/>
        <w:bottom w:w="0" w:type="dxa"/>
        <w:right w:w="108" w:type="dxa"/>
      </w:tblCellMar>
    </w:tblPr>
  </w:style>
  <w:style w:type="paragraph" w:styleId="3">
    <w:name w:val="Balloon Text"/>
    <w:basedOn w:val="1"/>
    <w:link w:val="14"/>
    <w:unhideWhenUsed/>
    <w:uiPriority w:val="99"/>
    <w:rPr>
      <w:sz w:val="18"/>
      <w:szCs w:val="18"/>
    </w:rPr>
  </w:style>
  <w:style w:type="paragraph" w:styleId="4">
    <w:name w:val="Document Map"/>
    <w:basedOn w:val="1"/>
    <w:link w:val="13"/>
    <w:unhideWhenUsed/>
    <w:uiPriority w:val="99"/>
    <w:rPr>
      <w:rFonts w:ascii="Heiti SC Light" w:eastAsia="Heiti SC Light"/>
      <w:sz w:val="24"/>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er Char"/>
    <w:basedOn w:val="7"/>
    <w:link w:val="6"/>
    <w:uiPriority w:val="99"/>
    <w:rPr>
      <w:sz w:val="18"/>
      <w:szCs w:val="18"/>
    </w:rPr>
  </w:style>
  <w:style w:type="character" w:customStyle="1" w:styleId="10">
    <w:name w:val="Footer Char"/>
    <w:basedOn w:val="7"/>
    <w:link w:val="5"/>
    <w:uiPriority w:val="99"/>
    <w:rPr>
      <w:sz w:val="18"/>
      <w:szCs w:val="18"/>
    </w:rPr>
  </w:style>
  <w:style w:type="character" w:customStyle="1" w:styleId="11">
    <w:name w:val="Heading 1 Char"/>
    <w:basedOn w:val="7"/>
    <w:link w:val="2"/>
    <w:qFormat/>
    <w:uiPriority w:val="0"/>
    <w:rPr>
      <w:rFonts w:ascii="Times New Roman" w:hAnsi="Times New Roman" w:eastAsia="黑体" w:cs="Times New Roman"/>
      <w:b/>
      <w:bCs/>
      <w:color w:val="000000"/>
      <w:sz w:val="18"/>
      <w:szCs w:val="24"/>
    </w:rPr>
  </w:style>
  <w:style w:type="paragraph" w:customStyle="1"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Document Map Char"/>
    <w:basedOn w:val="7"/>
    <w:link w:val="4"/>
    <w:semiHidden/>
    <w:uiPriority w:val="99"/>
    <w:rPr>
      <w:rFonts w:ascii="Heiti SC Light" w:hAnsi="Times New Roman" w:eastAsia="Heiti SC Light" w:cs="Times New Roman"/>
      <w:sz w:val="24"/>
      <w:szCs w:val="24"/>
    </w:rPr>
  </w:style>
  <w:style w:type="character" w:customStyle="1" w:styleId="14">
    <w:name w:val="Balloon Text Char"/>
    <w:basedOn w:val="7"/>
    <w:link w:val="3"/>
    <w:semiHidden/>
    <w:uiPriority w:val="99"/>
    <w:rPr>
      <w:rFonts w:ascii="Times New Roman" w:hAnsi="Times New Roman" w:eastAsia="宋体" w:cs="Times New Roman"/>
      <w:sz w:val="18"/>
      <w:szCs w:val="18"/>
    </w:rPr>
  </w:style>
  <w:style w:type="paragraph" w:customStyle="1" w:styleId="15">
    <w:name w:val="papertitle"/>
    <w:basedOn w:val="1"/>
    <w:next w:val="1"/>
    <w:uiPriority w:val="0"/>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16">
    <w:name w:val="author"/>
    <w:basedOn w:val="1"/>
    <w:next w:val="1"/>
    <w:uiPriority w:val="0"/>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17">
    <w:name w:val="address"/>
    <w:basedOn w:val="1"/>
    <w:uiPriority w:val="0"/>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18">
    <w:name w:val="abstract"/>
    <w:basedOn w:val="1"/>
    <w:uiPriority w:val="0"/>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19">
    <w:name w:val="keywords"/>
    <w:basedOn w:val="18"/>
    <w:next w:val="1"/>
    <w:uiPriority w:val="0"/>
    <w:pPr>
      <w:spacing w:before="220"/>
      <w:ind w:firstLine="0"/>
      <w:contextualSpacing w:val="0"/>
      <w:jc w:val="left"/>
    </w:pPr>
  </w:style>
  <w:style w:type="paragraph" w:customStyle="1" w:styleId="20">
    <w:name w:val="heading1"/>
    <w:basedOn w:val="1"/>
    <w:next w:val="1"/>
    <w:qFormat/>
    <w:uiPriority w:val="0"/>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21">
    <w:name w:val="heading2"/>
    <w:basedOn w:val="1"/>
    <w:next w:val="1"/>
    <w:qFormat/>
    <w:uiPriority w:val="0"/>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22">
    <w:name w:val="figurecaption"/>
    <w:basedOn w:val="1"/>
    <w:next w:val="1"/>
    <w:uiPriority w:val="0"/>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23">
    <w:name w:val="tablecaption"/>
    <w:basedOn w:val="1"/>
    <w:next w:val="1"/>
    <w:uiPriority w:val="0"/>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24">
    <w:name w:val="referenceitem"/>
    <w:basedOn w:val="1"/>
    <w:uiPriority w:val="0"/>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7.wmf"/><Relationship Id="rId97" Type="http://schemas.openxmlformats.org/officeDocument/2006/relationships/oleObject" Target="embeddings/oleObject48.bin"/><Relationship Id="rId96" Type="http://schemas.openxmlformats.org/officeDocument/2006/relationships/image" Target="media/image46.wmf"/><Relationship Id="rId95" Type="http://schemas.openxmlformats.org/officeDocument/2006/relationships/oleObject" Target="embeddings/oleObject47.bin"/><Relationship Id="rId94" Type="http://schemas.openxmlformats.org/officeDocument/2006/relationships/image" Target="media/image45.wmf"/><Relationship Id="rId93" Type="http://schemas.openxmlformats.org/officeDocument/2006/relationships/oleObject" Target="embeddings/oleObject46.bin"/><Relationship Id="rId92" Type="http://schemas.openxmlformats.org/officeDocument/2006/relationships/image" Target="media/image44.wmf"/><Relationship Id="rId91" Type="http://schemas.openxmlformats.org/officeDocument/2006/relationships/oleObject" Target="embeddings/oleObject45.bin"/><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oleObject" Target="embeddings/oleObject44.bin"/><Relationship Id="rId88" Type="http://schemas.openxmlformats.org/officeDocument/2006/relationships/image" Target="media/image42.wmf"/><Relationship Id="rId87" Type="http://schemas.openxmlformats.org/officeDocument/2006/relationships/oleObject" Target="embeddings/oleObject43.bin"/><Relationship Id="rId86" Type="http://schemas.openxmlformats.org/officeDocument/2006/relationships/image" Target="media/image41.wmf"/><Relationship Id="rId85" Type="http://schemas.openxmlformats.org/officeDocument/2006/relationships/oleObject" Target="embeddings/oleObject42.bin"/><Relationship Id="rId84" Type="http://schemas.openxmlformats.org/officeDocument/2006/relationships/image" Target="media/image40.wmf"/><Relationship Id="rId83" Type="http://schemas.openxmlformats.org/officeDocument/2006/relationships/oleObject" Target="embeddings/oleObject41.bin"/><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5" Type="http://schemas.openxmlformats.org/officeDocument/2006/relationships/fontTable" Target="fontTable.xml"/><Relationship Id="rId124" Type="http://schemas.openxmlformats.org/officeDocument/2006/relationships/customXml" Target="../customXml/item2.xml"/><Relationship Id="rId123" Type="http://schemas.openxmlformats.org/officeDocument/2006/relationships/numbering" Target="numbering.xml"/><Relationship Id="rId122" Type="http://schemas.openxmlformats.org/officeDocument/2006/relationships/customXml" Target="../customXml/item1.xml"/><Relationship Id="rId121" Type="http://schemas.openxmlformats.org/officeDocument/2006/relationships/image" Target="media/image58.emf"/><Relationship Id="rId120" Type="http://schemas.openxmlformats.org/officeDocument/2006/relationships/oleObject" Target="embeddings/oleObject60.bin"/><Relationship Id="rId12" Type="http://schemas.openxmlformats.org/officeDocument/2006/relationships/oleObject" Target="embeddings/oleObject5.bin"/><Relationship Id="rId119" Type="http://schemas.openxmlformats.org/officeDocument/2006/relationships/image" Target="media/image57.emf"/><Relationship Id="rId118" Type="http://schemas.openxmlformats.org/officeDocument/2006/relationships/oleObject" Target="embeddings/oleObject59.bin"/><Relationship Id="rId117" Type="http://schemas.openxmlformats.org/officeDocument/2006/relationships/image" Target="media/image56.wmf"/><Relationship Id="rId116" Type="http://schemas.openxmlformats.org/officeDocument/2006/relationships/oleObject" Target="embeddings/oleObject58.bin"/><Relationship Id="rId115" Type="http://schemas.openxmlformats.org/officeDocument/2006/relationships/image" Target="media/image55.png"/><Relationship Id="rId114" Type="http://schemas.openxmlformats.org/officeDocument/2006/relationships/oleObject" Target="embeddings/oleObject57.bin"/><Relationship Id="rId113" Type="http://schemas.openxmlformats.org/officeDocument/2006/relationships/oleObject" Target="embeddings/oleObject56.bin"/><Relationship Id="rId112" Type="http://schemas.openxmlformats.org/officeDocument/2006/relationships/image" Target="media/image54.wmf"/><Relationship Id="rId111" Type="http://schemas.openxmlformats.org/officeDocument/2006/relationships/oleObject" Target="embeddings/oleObject55.bin"/><Relationship Id="rId110" Type="http://schemas.openxmlformats.org/officeDocument/2006/relationships/image" Target="media/image53.wmf"/><Relationship Id="rId11" Type="http://schemas.openxmlformats.org/officeDocument/2006/relationships/image" Target="media/image4.wmf"/><Relationship Id="rId109" Type="http://schemas.openxmlformats.org/officeDocument/2006/relationships/oleObject" Target="embeddings/oleObject54.bin"/><Relationship Id="rId108" Type="http://schemas.openxmlformats.org/officeDocument/2006/relationships/image" Target="media/image52.wmf"/><Relationship Id="rId107" Type="http://schemas.openxmlformats.org/officeDocument/2006/relationships/oleObject" Target="embeddings/oleObject53.bin"/><Relationship Id="rId106" Type="http://schemas.openxmlformats.org/officeDocument/2006/relationships/image" Target="media/image51.wmf"/><Relationship Id="rId105" Type="http://schemas.openxmlformats.org/officeDocument/2006/relationships/oleObject" Target="embeddings/oleObject52.bin"/><Relationship Id="rId104" Type="http://schemas.openxmlformats.org/officeDocument/2006/relationships/image" Target="media/image50.wmf"/><Relationship Id="rId103" Type="http://schemas.openxmlformats.org/officeDocument/2006/relationships/oleObject" Target="embeddings/oleObject51.bin"/><Relationship Id="rId102" Type="http://schemas.openxmlformats.org/officeDocument/2006/relationships/image" Target="media/image49.wmf"/><Relationship Id="rId101" Type="http://schemas.openxmlformats.org/officeDocument/2006/relationships/oleObject" Target="embeddings/oleObject50.bin"/><Relationship Id="rId100" Type="http://schemas.openxmlformats.org/officeDocument/2006/relationships/image" Target="media/image48.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F1B86-8D44-8E47-840E-95A431B90CE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2911</Words>
  <Characters>16596</Characters>
  <Lines>138</Lines>
  <Paragraphs>33</Paragraphs>
  <TotalTime>0</TotalTime>
  <ScaleCrop>false</ScaleCrop>
  <LinksUpToDate>false</LinksUpToDate>
  <CharactersWithSpaces>20381</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2015-11-06T10:48:00Z</dcterms:created>
  <dc:creator>gang lin</dc:creator>
  <cp:lastModifiedBy>Administrator</cp:lastModifiedBy>
  <dcterms:modified xsi:type="dcterms:W3CDTF">2017-07-10T04:18:30Z</dcterms:modified>
  <dc:title>WAMS/SCADA Data Fusion Method Study Based on Time-Series Data Correlation Mining</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